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B" w:rsidRPr="00E33251" w:rsidRDefault="0028522B" w:rsidP="0028522B">
      <w:pPr>
        <w:spacing w:after="0"/>
        <w:ind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3251">
        <w:rPr>
          <w:rFonts w:ascii="Times New Roman" w:eastAsia="Calibri" w:hAnsi="Times New Roman" w:cs="Times New Roman"/>
          <w:sz w:val="24"/>
          <w:szCs w:val="24"/>
        </w:rPr>
        <w:t>Sadece Hayvan Sağlığında Kullanılır</w:t>
      </w:r>
    </w:p>
    <w:p w:rsidR="0028522B" w:rsidRPr="00E33251" w:rsidRDefault="0028522B" w:rsidP="0028522B">
      <w:pPr>
        <w:spacing w:after="0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251">
        <w:rPr>
          <w:rFonts w:ascii="Times New Roman" w:eastAsia="Calibri" w:hAnsi="Times New Roman" w:cs="Times New Roman"/>
          <w:b/>
          <w:sz w:val="24"/>
          <w:szCs w:val="24"/>
        </w:rPr>
        <w:t>HYDRAFULL</w:t>
      </w:r>
    </w:p>
    <w:p w:rsidR="0028522B" w:rsidRPr="00E33251" w:rsidRDefault="0028522B" w:rsidP="0028522B">
      <w:pPr>
        <w:spacing w:after="0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251">
        <w:rPr>
          <w:rFonts w:ascii="Times New Roman" w:eastAsia="Calibri" w:hAnsi="Times New Roman" w:cs="Times New Roman"/>
          <w:b/>
          <w:sz w:val="24"/>
          <w:szCs w:val="24"/>
        </w:rPr>
        <w:t>Enjeksiyonluk Çözelti</w:t>
      </w:r>
    </w:p>
    <w:p w:rsidR="0028522B" w:rsidRPr="00E33251" w:rsidRDefault="0028522B" w:rsidP="0028522B">
      <w:pPr>
        <w:spacing w:after="0"/>
        <w:ind w:right="-142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3251">
        <w:rPr>
          <w:rFonts w:ascii="Times New Roman" w:eastAsia="Calibri" w:hAnsi="Times New Roman" w:cs="Times New Roman"/>
          <w:bCs/>
          <w:iCs/>
          <w:sz w:val="24"/>
          <w:szCs w:val="24"/>
        </w:rPr>
        <w:t>Vitamin - Mineral – Aminoasit</w:t>
      </w:r>
    </w:p>
    <w:p w:rsidR="0028522B" w:rsidRPr="00E33251" w:rsidRDefault="0028522B" w:rsidP="00285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22B" w:rsidRPr="00E33251" w:rsidRDefault="0028522B" w:rsidP="0028522B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251">
        <w:rPr>
          <w:rFonts w:ascii="Times New Roman" w:hAnsi="Times New Roman" w:cs="Times New Roman"/>
          <w:b/>
          <w:sz w:val="24"/>
          <w:szCs w:val="24"/>
        </w:rPr>
        <w:t>BİLEŞİMİ</w:t>
      </w:r>
    </w:p>
    <w:tbl>
      <w:tblPr>
        <w:tblStyle w:val="TabloKlavuzu"/>
        <w:tblW w:w="0" w:type="auto"/>
        <w:tblLook w:val="04A0"/>
      </w:tblPr>
      <w:tblGrid>
        <w:gridCol w:w="3652"/>
        <w:gridCol w:w="851"/>
        <w:gridCol w:w="708"/>
      </w:tblGrid>
      <w:tr w:rsidR="0028522B" w:rsidRPr="00E33251" w:rsidTr="0028522B">
        <w:tc>
          <w:tcPr>
            <w:tcW w:w="5211" w:type="dxa"/>
            <w:gridSpan w:val="3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HYDRAFULL Enjeksiyonluk Çözelti; </w:t>
            </w:r>
          </w:p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pembe renkli, berrak bir çözelti olup, </w:t>
            </w:r>
          </w:p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Beher </w:t>
            </w:r>
            <w:proofErr w:type="spellStart"/>
            <w:r w:rsidRPr="00E33251">
              <w:rPr>
                <w:sz w:val="24"/>
                <w:szCs w:val="24"/>
              </w:rPr>
              <w:t>ml’de</w:t>
            </w:r>
            <w:proofErr w:type="spellEnd"/>
            <w:r w:rsidRPr="00E33251">
              <w:rPr>
                <w:sz w:val="24"/>
                <w:szCs w:val="24"/>
              </w:rPr>
              <w:tab/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l - </w:t>
            </w:r>
            <w:proofErr w:type="spellStart"/>
            <w:r w:rsidRPr="00E33251">
              <w:rPr>
                <w:sz w:val="24"/>
                <w:szCs w:val="24"/>
              </w:rPr>
              <w:t>arjinin</w:t>
            </w:r>
            <w:proofErr w:type="spellEnd"/>
            <w:r w:rsidRPr="00E33251">
              <w:rPr>
                <w:sz w:val="24"/>
                <w:szCs w:val="24"/>
              </w:rPr>
              <w:t xml:space="preserve"> </w:t>
            </w:r>
            <w:proofErr w:type="spellStart"/>
            <w:r w:rsidRPr="00E33251">
              <w:rPr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2.4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l - </w:t>
            </w:r>
            <w:proofErr w:type="spellStart"/>
            <w:r w:rsidRPr="00E33251">
              <w:rPr>
                <w:sz w:val="24"/>
                <w:szCs w:val="24"/>
              </w:rPr>
              <w:t>ornitin</w:t>
            </w:r>
            <w:proofErr w:type="spellEnd"/>
            <w:r w:rsidRPr="00E33251">
              <w:rPr>
                <w:sz w:val="24"/>
                <w:szCs w:val="24"/>
              </w:rPr>
              <w:t xml:space="preserve"> </w:t>
            </w:r>
            <w:proofErr w:type="spellStart"/>
            <w:r w:rsidRPr="00E33251">
              <w:rPr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1.2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l - </w:t>
            </w:r>
            <w:proofErr w:type="spellStart"/>
            <w:r w:rsidRPr="00E33251">
              <w:rPr>
                <w:sz w:val="24"/>
                <w:szCs w:val="24"/>
              </w:rPr>
              <w:t>sitrulin</w:t>
            </w:r>
            <w:proofErr w:type="spellEnd"/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1.2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E33251">
              <w:rPr>
                <w:sz w:val="24"/>
                <w:szCs w:val="24"/>
              </w:rPr>
              <w:t>Fruktoz</w:t>
            </w:r>
            <w:proofErr w:type="spellEnd"/>
            <w:r w:rsidRPr="00E332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 50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E33251">
              <w:rPr>
                <w:sz w:val="24"/>
                <w:szCs w:val="24"/>
              </w:rPr>
              <w:t>Sorbitol</w:t>
            </w:r>
            <w:proofErr w:type="spellEnd"/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 50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E33251">
              <w:rPr>
                <w:sz w:val="24"/>
                <w:szCs w:val="24"/>
              </w:rPr>
              <w:t>Siyanokobalamin</w:t>
            </w:r>
            <w:proofErr w:type="spellEnd"/>
            <w:r w:rsidRPr="00E33251">
              <w:rPr>
                <w:sz w:val="24"/>
                <w:szCs w:val="24"/>
              </w:rPr>
              <w:t xml:space="preserve"> </w:t>
            </w:r>
            <w:proofErr w:type="gramStart"/>
            <w:r w:rsidRPr="00E33251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E33251">
              <w:rPr>
                <w:sz w:val="24"/>
                <w:szCs w:val="24"/>
              </w:rPr>
              <w:t>Vit</w:t>
            </w:r>
            <w:proofErr w:type="spellEnd"/>
            <w:r w:rsidRPr="00E33251">
              <w:rPr>
                <w:sz w:val="24"/>
                <w:szCs w:val="24"/>
              </w:rPr>
              <w:t>. B</w:t>
            </w:r>
            <w:r w:rsidRPr="00E33251">
              <w:rPr>
                <w:sz w:val="24"/>
                <w:szCs w:val="24"/>
                <w:vertAlign w:val="subscript"/>
              </w:rPr>
              <w:t>12</w:t>
            </w:r>
            <w:r w:rsidRPr="00E33251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sym w:font="Symbol" w:char="F06D"/>
            </w:r>
            <w:r w:rsidRPr="00E33251">
              <w:rPr>
                <w:sz w:val="24"/>
                <w:szCs w:val="24"/>
              </w:rPr>
              <w:t>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Sodyum klorür</w:t>
            </w:r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Sodyum </w:t>
            </w:r>
            <w:proofErr w:type="spellStart"/>
            <w:r w:rsidRPr="00E33251">
              <w:rPr>
                <w:sz w:val="24"/>
                <w:szCs w:val="24"/>
              </w:rPr>
              <w:t>laktat</w:t>
            </w:r>
            <w:proofErr w:type="spellEnd"/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3.04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Potasyum klorür</w:t>
            </w:r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0.4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Kalsiyum klorür</w:t>
            </w:r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0.2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  <w:tr w:rsidR="0028522B" w:rsidRPr="00E33251" w:rsidTr="0028522B">
        <w:tc>
          <w:tcPr>
            <w:tcW w:w="3652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Magnezyum klorür</w:t>
            </w:r>
          </w:p>
        </w:tc>
        <w:tc>
          <w:tcPr>
            <w:tcW w:w="851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 xml:space="preserve">   0.2</w:t>
            </w:r>
          </w:p>
        </w:tc>
        <w:tc>
          <w:tcPr>
            <w:tcW w:w="708" w:type="dxa"/>
          </w:tcPr>
          <w:p w:rsidR="0028522B" w:rsidRPr="00E33251" w:rsidRDefault="0028522B" w:rsidP="0028522B">
            <w:pPr>
              <w:ind w:right="-142"/>
              <w:jc w:val="both"/>
              <w:rPr>
                <w:sz w:val="24"/>
                <w:szCs w:val="24"/>
              </w:rPr>
            </w:pPr>
            <w:r w:rsidRPr="00E33251">
              <w:rPr>
                <w:sz w:val="24"/>
                <w:szCs w:val="24"/>
              </w:rPr>
              <w:t>mg</w:t>
            </w:r>
          </w:p>
        </w:tc>
      </w:tr>
    </w:tbl>
    <w:p w:rsidR="0028522B" w:rsidRPr="00E33251" w:rsidRDefault="0028522B" w:rsidP="0028522B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 xml:space="preserve">FARMAKOLOJİK ÖZELLİKLERİ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>Vitamin B</w:t>
      </w:r>
      <w:r w:rsidRPr="00E332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E33251">
        <w:rPr>
          <w:rFonts w:ascii="Times New Roman" w:eastAsia="Times New Roman" w:hAnsi="Times New Roman" w:cs="Times New Roman"/>
          <w:sz w:val="24"/>
          <w:szCs w:val="24"/>
        </w:rPr>
        <w:t>, aminoasitler, elektrolitler ve şekerleri içeren HYDRAFULL Enjeksiyonluk Çözelti damar içi, derialtı veya periton içi yolla yüksek hacimlerde kullanılabilen enjeksiyonluk bir çözeltidir.</w:t>
      </w:r>
    </w:p>
    <w:p w:rsidR="0028522B" w:rsidRPr="00E33251" w:rsidRDefault="0028522B" w:rsidP="0028522B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HYDRAFULL Enjeksiyonluk Çözelti,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dehidrasyon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intoksikasyon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sonucu meydana gelen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metabolik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değişimlerin düzenlenmesi amacıyla kullanılır. Bu amaçla, kanda viskozite artışı ve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kapillar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dolaşımda güçlüğe neden olan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dehidrasyon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ile karakterize hastalıkların tedavisinde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rehidrasyon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antiasidozis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etkisi nedeniyle kullanılır. Bunun dışında, özellikle karaciğer düzeyinde ortaya çıkan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metabolik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değişimleri düzenleyebilecek antitoksik etken maddeler içermektedir. </w:t>
      </w:r>
    </w:p>
    <w:p w:rsidR="0028522B" w:rsidRPr="00E33251" w:rsidRDefault="0028522B" w:rsidP="0028522B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HYDRAFULL Enjeksiyonluk Çözelti’nin yapısında bulunan </w:t>
      </w:r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I-</w:t>
      </w:r>
      <w:proofErr w:type="spellStart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ornitin</w:t>
      </w:r>
      <w:proofErr w:type="spellEnd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 xml:space="preserve"> HCL, I-</w:t>
      </w:r>
      <w:proofErr w:type="spellStart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arjinin</w:t>
      </w:r>
      <w:proofErr w:type="spellEnd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 xml:space="preserve"> HCL ve I-</w:t>
      </w:r>
      <w:proofErr w:type="spellStart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sitrulin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Krebs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Henseleit’in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üre çemberleriyle ilgili aminoasitleridir. Bu çemberle birlikte amonyağın üreye dönüşmesi sırasında nitrojen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katabolitleri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memeli hayvanlar tarafından elimine edilirler. Yapılan deneysel çalışmalarda bu aminoasitlerin deneysel dozlarda tekrarlanan uygulamalarında kandaki nitrojen seviyesini düşürdüğü gözlenmiştir. Bu aminoasitler enzim reaksiyonları için gerekli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koenzimlerin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öncüsü ve/veya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substratları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olan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lipotropik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ve karaciğeri koruyucu aktiviteye sahiptirler. 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Kan nitrojen seviyesi; yüksek proteinli gıdalarla beslenme, üre zehirlenmesi, karaciğer yetersizliği,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alkolozis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sonucu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indigesyon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dehidrasyon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ve stres durumlarında patolojik olarak yükselir.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Fruktoz</w:t>
      </w:r>
      <w:proofErr w:type="spellEnd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 xml:space="preserve"> ve </w:t>
      </w:r>
      <w:proofErr w:type="spellStart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sorbitol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glukojenik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ve anti-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ketojenik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etkilere sahiptir ve hızlı şekilde aktive olurlar. Bu bileşikler glikoz veya glikojen şeklinde karaciğer hücrelerinde kullanıma hazır enerji kaynağı olarak depolanırlar. Bu sayede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metabolik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işlevler esnasında aminoasit ve lipitlerden yararlanma ile ilgili olarak ortaya çıkabilecek komplikasyonların (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ketozis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) önüne geçilmiş olur. Hafif bir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diüretik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etkiye sahip olan </w:t>
      </w:r>
      <w:proofErr w:type="spellStart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sorbitol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kan konsantrasyonundaki artışa bağlı olarak böbrek fonksiyonlarının zarar görmesi nedeniyle bu fonksiyonların geri kazanılmasında oldukça faydalıdır.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i/>
          <w:caps/>
          <w:sz w:val="24"/>
          <w:szCs w:val="24"/>
        </w:rPr>
        <w:lastRenderedPageBreak/>
        <w:t>v</w:t>
      </w:r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itamin B</w:t>
      </w:r>
      <w:r w:rsidRPr="00E3325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12</w:t>
      </w:r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Siyanokobalamin</w:t>
      </w:r>
      <w:proofErr w:type="spellEnd"/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lipid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metabolizması üzerindeki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indirekt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etkisiyle yağ dejenerasyonuna zıt bir etki göstererek karaciğeri dejenerasyonlara karşı korur. </w:t>
      </w:r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Vitamin B</w:t>
      </w:r>
      <w:r w:rsidRPr="00E3325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12</w:t>
      </w:r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vücuttaki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detoksikasyonda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görevli enzim sistemleri için gerekli iken nükleoprotein, protein ve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hemosisteinden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başlayarak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metiyonin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sentezinde de aktif olarak görev alır.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i/>
          <w:sz w:val="24"/>
          <w:szCs w:val="24"/>
        </w:rPr>
        <w:t>Sodyum, potasyum, magnezyum, kalsiyum ve klor</w:t>
      </w: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elektrolitleri biyokimyasal reaksiyonlarda gerekli temel elementlerdir. Özellikle asit baz tampon sisteminde önemli fonksiyonlara sahip olup,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dehidre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ve bitkin hayvanlarda tuz dengesini düzenlerler.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>KULLANIM SAHASI/ENDİKASYONLAR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>HYDRAFULL Enjeksiyonluk Çözelti at, sığır, buzağı, tay, koyun, keçi, kuzu ve oğlaklarda;</w:t>
      </w:r>
    </w:p>
    <w:p w:rsidR="0028522B" w:rsidRPr="00E33251" w:rsidRDefault="0028522B" w:rsidP="0028522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1)Hastalık sonrası oluşan iç ve dış kaynaklı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intoksikasyonlarda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522B" w:rsidRPr="00E33251" w:rsidRDefault="0028522B" w:rsidP="0028522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2)Yüksek proteinli gıdalarla beslenme ve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rasyonla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birlikte aşırı miktarda üre alınmasında, </w:t>
      </w:r>
    </w:p>
    <w:p w:rsidR="0028522B" w:rsidRPr="00E33251" w:rsidRDefault="0028522B" w:rsidP="0028522B">
      <w:pPr>
        <w:tabs>
          <w:tab w:val="left" w:pos="688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3)Süt humması ve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ketozis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gibi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metabolik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hastalıklarda,</w:t>
      </w:r>
      <w:r w:rsidRPr="00E332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522B" w:rsidRPr="00E33251" w:rsidRDefault="0028522B" w:rsidP="0028522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Dehidrasyon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asidoz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ve genel bitkinlik hallerinde ve nakil sırasında oluşan streslerde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endikedir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22B" w:rsidRPr="00E33251" w:rsidRDefault="0028522B" w:rsidP="0028522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5)Asıl tedaviye destekleyici olarak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enfeksiyöz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enfeksiyöz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kaynaklı olmayan ishallerde, </w:t>
      </w:r>
    </w:p>
    <w:p w:rsidR="0028522B" w:rsidRPr="00E33251" w:rsidRDefault="0028522B" w:rsidP="0028522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>6)Gebelik ve gebelik sonrası bitkinliklerde.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>KULLANIM ŞEKLİ VE DOZU</w:t>
      </w: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>Veteriner hekim tarafından başka şekilde tavsiye edilmediği taktirde;</w:t>
      </w:r>
    </w:p>
    <w:p w:rsidR="0028522B" w:rsidRPr="00E33251" w:rsidRDefault="0028522B" w:rsidP="0028522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3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Ağırlıklarına göre damar içi (I.V.), deri altı (S.C.), veya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  <w:lang w:eastAsia="tr-TR"/>
        </w:rPr>
        <w:t>intraperitonal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(I.P.) yolla uygulanır.                                </w:t>
      </w:r>
    </w:p>
    <w:p w:rsidR="0028522B" w:rsidRPr="00E33251" w:rsidRDefault="0028522B" w:rsidP="0028522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32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Pratik doz tablosu</w:t>
      </w:r>
    </w:p>
    <w:tbl>
      <w:tblPr>
        <w:tblpPr w:leftFromText="141" w:rightFromText="141" w:vertAnchor="text" w:horzAnchor="margin" w:tblpX="108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946"/>
      </w:tblGrid>
      <w:tr w:rsidR="0028522B" w:rsidRPr="00E33251" w:rsidTr="0028522B">
        <w:tc>
          <w:tcPr>
            <w:tcW w:w="2376" w:type="dxa"/>
          </w:tcPr>
          <w:p w:rsidR="0028522B" w:rsidRPr="00E33251" w:rsidRDefault="0028522B" w:rsidP="0028522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Sığır ve at</w:t>
            </w:r>
          </w:p>
        </w:tc>
        <w:tc>
          <w:tcPr>
            <w:tcW w:w="6946" w:type="dxa"/>
          </w:tcPr>
          <w:p w:rsidR="0028522B" w:rsidRPr="00E33251" w:rsidRDefault="0028522B" w:rsidP="0028522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33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250-500 ml/ gün</w:t>
            </w:r>
          </w:p>
        </w:tc>
      </w:tr>
      <w:tr w:rsidR="0028522B" w:rsidRPr="00E33251" w:rsidTr="0028522B">
        <w:tc>
          <w:tcPr>
            <w:tcW w:w="2376" w:type="dxa"/>
          </w:tcPr>
          <w:p w:rsidR="0028522B" w:rsidRPr="00E33251" w:rsidRDefault="0028522B" w:rsidP="0028522B">
            <w:pPr>
              <w:tabs>
                <w:tab w:val="right" w:pos="439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Buzağı ve tay</w:t>
            </w:r>
            <w:r w:rsidRPr="00E33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6946" w:type="dxa"/>
          </w:tcPr>
          <w:p w:rsidR="0028522B" w:rsidRPr="00E33251" w:rsidRDefault="0028522B" w:rsidP="0028522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150-250 ml (günde bir veya iki kere)</w:t>
            </w:r>
          </w:p>
        </w:tc>
      </w:tr>
      <w:tr w:rsidR="0028522B" w:rsidRPr="00E33251" w:rsidTr="0028522B">
        <w:trPr>
          <w:trHeight w:val="424"/>
        </w:trPr>
        <w:tc>
          <w:tcPr>
            <w:tcW w:w="2376" w:type="dxa"/>
          </w:tcPr>
          <w:p w:rsidR="0028522B" w:rsidRPr="00E33251" w:rsidRDefault="0028522B" w:rsidP="0028522B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Koyun, keçi, kuzu, oğlak</w:t>
            </w:r>
          </w:p>
        </w:tc>
        <w:tc>
          <w:tcPr>
            <w:tcW w:w="6946" w:type="dxa"/>
          </w:tcPr>
          <w:p w:rsidR="0028522B" w:rsidRPr="00E33251" w:rsidRDefault="0028522B" w:rsidP="0028522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3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20-50ml (hayvanın büyüklüğüne veya veteriner hekim tavsiyesine göre kullanılır.)</w:t>
            </w:r>
          </w:p>
        </w:tc>
      </w:tr>
    </w:tbl>
    <w:p w:rsidR="0028522B" w:rsidRPr="00E33251" w:rsidRDefault="0028522B" w:rsidP="0028522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325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esnasında asepsi ve antisepsi kurallarına uyulmalıdır.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>HEDEF TÜRLER İÇİN ÖZEL KLİNİK BİLGİLER VE UYARILAR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Ciddi böbrek yetmezliği bulunan hayvanlarda dikkatle uygulanmalıdır. (Buzağılarda günlük uygulama 1000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ml’yi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geçmemelidir.)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>İSTENMEYEN/YAN ETKİLER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>Önerilen dozlarda ve önerilen şekilde uygulandığında, herhangi bir yan etkisi bulunmamaktadır.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>GIDALARDA İLAÇ KALINTILARI HAKKINDA UYARILAR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 xml:space="preserve">İlaç kalıntı arınma süresi (i.k.a.s) Et ve süt için “0” gündür.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>KONTRENDİKASYONLARI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Herhangi bir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</w:rPr>
        <w:t>kontrendikasyona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 rastlanmamıştır.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 xml:space="preserve">GENEL UYARILAR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 xml:space="preserve">Kullanmadan önce ve beklenmeyen bir etki görüldüğünde veteriner hekime danışınız.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>Çocukların ulaşamayacağı yerlerde bulundurunuz.</w:t>
      </w: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>UYGULAYICININ ALMASI GEREKEN ÖNLEMLER VE HEKİMLER İÇİN UYARILAR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sz w:val="24"/>
          <w:szCs w:val="24"/>
        </w:rPr>
        <w:t>İlacın kaza ile göze teması durumunda göz bol miktarda içme suyu ile durulanmalıdır.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sz w:val="24"/>
          <w:szCs w:val="24"/>
        </w:rPr>
        <w:t>MUHAFAZA ŞARTLARI VE RAF ÖMRÜ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3251">
        <w:rPr>
          <w:rFonts w:ascii="Times New Roman" w:eastAsia="Times New Roman" w:hAnsi="Times New Roman" w:cs="Times New Roman"/>
          <w:sz w:val="24"/>
          <w:szCs w:val="24"/>
          <w:lang w:eastAsia="tr-TR"/>
        </w:rPr>
        <w:t>25</w:t>
      </w:r>
      <w:r w:rsidRPr="00E332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 xml:space="preserve">o </w:t>
      </w:r>
      <w:proofErr w:type="spellStart"/>
      <w:r w:rsidRPr="00E33251">
        <w:rPr>
          <w:rFonts w:ascii="Times New Roman" w:eastAsia="Times New Roman" w:hAnsi="Times New Roman" w:cs="Times New Roman"/>
          <w:sz w:val="24"/>
          <w:szCs w:val="24"/>
          <w:lang w:eastAsia="tr-TR"/>
        </w:rPr>
        <w:t>C’nin</w:t>
      </w:r>
      <w:proofErr w:type="spellEnd"/>
      <w:r w:rsidRPr="00E332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altında oda sıcaklığında, ışıktan koruyarak saklandığında raf ömrü imal tarihinden itibaren 24 aydır. Ürün açıldıktan sonra 28 gün içerisinde kullanılmalıdır.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KULLANIM SONU İMHA VE HEDEF OLMAYAN TÜRLER İÇİN UYARILAR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Kullanılmış ambalajlar uygun bir şekilde imha edilmelidir.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TİCARİ TAKDİM ŞEKLİ</w:t>
      </w:r>
    </w:p>
    <w:p w:rsidR="00757323" w:rsidRPr="00E33251" w:rsidRDefault="00757323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Karton kutu içerisinde 250 </w:t>
      </w:r>
      <w:proofErr w:type="spellStart"/>
      <w:r w:rsidRPr="00E33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ml’lik</w:t>
      </w:r>
      <w:proofErr w:type="spellEnd"/>
      <w:r w:rsidRPr="00E33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Tip II renksiz cam şişelerde sunulmaktadır.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SATIŞ YERİ VE ŞARTLARI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Veteriner hekim reçetesi ile eczanelerde ve veteriner muayenehanelerinde satılır. (VHR)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PROSPEKTÜS ONAY TARİHİ: 19.01.2017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TARIM VE </w:t>
      </w:r>
      <w:r w:rsidR="0031698A" w:rsidRPr="00E33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ORMAN </w:t>
      </w:r>
      <w:r w:rsidRPr="00E33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BAKANLIĞI PAZARLAMA İZİN TARİH VE NO: 02.06.2009 – 21/060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PAZARLAMA İZİN SAHİBİNİN ADI VE ADRESİ</w:t>
      </w:r>
      <w:r w:rsidRPr="00E33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DEVA Holding A.Ş. Halkalı Merkez Mahallesi Basın Ekspres Cad. No:1 Küçükçekmece/İSTANBUL     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Tel: 0212 692 92 92 Faks: 0 212 697 34 89 e-mail: vetas@vetas.com.tr</w:t>
      </w:r>
    </w:p>
    <w:p w:rsidR="0028522B" w:rsidRPr="00E33251" w:rsidRDefault="0028522B" w:rsidP="0028522B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ÜRETİCİ FİRMANIN ADI VE ADRESİ </w:t>
      </w:r>
    </w:p>
    <w:p w:rsidR="00757323" w:rsidRPr="00E33251" w:rsidRDefault="00757323" w:rsidP="00757323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332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DEVA Holding A.Ş. Çerkezköy Organize Sanayi Bölgesi, Karaağaç  Mah. Atatürk Cad. No: 32 59510 Kapaklı/Tekirdağ Tel: 0 282 735 20 00 Faks: 0 282 758 16 83</w:t>
      </w:r>
    </w:p>
    <w:sectPr w:rsidR="00757323" w:rsidRPr="00E33251" w:rsidSect="0092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22B"/>
    <w:rsid w:val="00077BD9"/>
    <w:rsid w:val="00195B23"/>
    <w:rsid w:val="0028522B"/>
    <w:rsid w:val="0031698A"/>
    <w:rsid w:val="005D2AC9"/>
    <w:rsid w:val="00671BD4"/>
    <w:rsid w:val="00720BC4"/>
    <w:rsid w:val="00757323"/>
    <w:rsid w:val="00826595"/>
    <w:rsid w:val="0092090D"/>
    <w:rsid w:val="00A4083A"/>
    <w:rsid w:val="00AE7054"/>
    <w:rsid w:val="00B067C7"/>
    <w:rsid w:val="00B15262"/>
    <w:rsid w:val="00B4136E"/>
    <w:rsid w:val="00C96A1D"/>
    <w:rsid w:val="00E125DA"/>
    <w:rsid w:val="00E33251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oerkaya</dc:creator>
  <cp:keywords/>
  <dc:description/>
  <cp:lastModifiedBy>acoban</cp:lastModifiedBy>
  <cp:revision>10</cp:revision>
  <cp:lastPrinted>2018-09-18T07:18:00Z</cp:lastPrinted>
  <dcterms:created xsi:type="dcterms:W3CDTF">2017-01-23T11:55:00Z</dcterms:created>
  <dcterms:modified xsi:type="dcterms:W3CDTF">2019-05-16T07:51:00Z</dcterms:modified>
</cp:coreProperties>
</file>