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4" w:rsidRPr="00916BCE" w:rsidRDefault="004126B4" w:rsidP="004126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Sadece Hayvan Sağlığında Kullanılır</w:t>
      </w:r>
    </w:p>
    <w:p w:rsidR="004126B4" w:rsidRPr="00916BCE" w:rsidRDefault="004126B4" w:rsidP="0041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GENTAVET %10</w:t>
      </w:r>
    </w:p>
    <w:p w:rsidR="004126B4" w:rsidRPr="00916BCE" w:rsidRDefault="004126B4" w:rsidP="004126B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Enjeksiyonluk Çözelti</w:t>
      </w:r>
    </w:p>
    <w:p w:rsidR="004126B4" w:rsidRPr="00916BCE" w:rsidRDefault="004126B4" w:rsidP="006C74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Veteriner Sistemik Antibakteriyel</w:t>
      </w:r>
    </w:p>
    <w:p w:rsidR="00F9794D" w:rsidRPr="00916BCE" w:rsidRDefault="00F9794D" w:rsidP="00025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</w:pPr>
    </w:p>
    <w:p w:rsidR="006B539D" w:rsidRPr="00916BCE" w:rsidRDefault="00F9794D" w:rsidP="0002579B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BİLEŞİMİ </w:t>
      </w:r>
    </w:p>
    <w:p w:rsidR="00804B98" w:rsidRPr="00916BCE" w:rsidRDefault="00804B98" w:rsidP="0080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GENTAVET %10 Enjeksiyonluk Çözelti, </w:t>
      </w:r>
      <w:r w:rsidRPr="00916BCE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 xml:space="preserve">sarı renkli, berrak, steril bir çözelti olup, </w:t>
      </w: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beher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ml’de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 madde olarak</w:t>
      </w:r>
      <w:r w:rsidRPr="00916BCE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 xml:space="preserve"> </w:t>
      </w: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100 mg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gentamisine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eşdeğer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gentamisin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sülfat ve yardımcı madde olarak metil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paraben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propil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paraben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sodyum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metabisülfit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içerir</w:t>
      </w:r>
      <w:r w:rsidRPr="00916BCE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>.</w:t>
      </w:r>
    </w:p>
    <w:p w:rsidR="004126B4" w:rsidRPr="00916BCE" w:rsidRDefault="004126B4" w:rsidP="000257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tr-TR"/>
        </w:rPr>
      </w:pPr>
    </w:p>
    <w:p w:rsidR="00F9794D" w:rsidRPr="00916BCE" w:rsidRDefault="00F9794D" w:rsidP="0002579B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FARMAKOLOJİK ÖZELLİKLERİ </w:t>
      </w:r>
    </w:p>
    <w:p w:rsidR="004D2D38" w:rsidRPr="00916BCE" w:rsidRDefault="004D2D38" w:rsidP="004D2D38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Gentamisin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aminoglikozid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yapılı ve orta spektrumlu bir antibiyotiktir.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Bakterisid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etkisini, kendisine duyarlı mikroorganizmalarda ribozomun 30 S alt ünitesine geri dönüşümsüz bağlanmak suretiyle protein sentezini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inhibe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ederek gösterir. </w:t>
      </w:r>
    </w:p>
    <w:p w:rsidR="004D2D38" w:rsidRPr="00916BCE" w:rsidRDefault="004D2D38" w:rsidP="004D2D38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Gentamisine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başlıca duyarlı bakteriler şunlardır; E.</w:t>
      </w:r>
      <w:r w:rsidR="00FD316C"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coli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Enterobacter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proofErr w:type="gram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.,</w:t>
      </w:r>
      <w:proofErr w:type="gram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Campylobacter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Klebsiella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Yersinia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Serratia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Haemophilus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Pasteurella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..</w:t>
      </w:r>
    </w:p>
    <w:p w:rsidR="004D2D38" w:rsidRPr="00916BCE" w:rsidRDefault="004D2D38" w:rsidP="004D2D38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Çoğu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Pseudomonas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aeroginosa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suşları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Staph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aureus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çoğunlukla duyarlıdır.</w:t>
      </w:r>
    </w:p>
    <w:p w:rsidR="004D2D38" w:rsidRPr="00916BCE" w:rsidRDefault="004D2D38" w:rsidP="004D2D38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Ancak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Streptococcus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.’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lerin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de aralarında bulunduğu diğer gram pozitif bakteriler, bazı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Pseudomonas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spp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. </w:t>
      </w:r>
      <w:proofErr w:type="gram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ve</w:t>
      </w:r>
      <w:proofErr w:type="gram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anaerob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bakteriler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gentamisine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dirençlidir.</w:t>
      </w:r>
    </w:p>
    <w:p w:rsidR="00F9794D" w:rsidRPr="00916BCE" w:rsidRDefault="004D2D38" w:rsidP="004D2D38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Gentamisin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kas içi (i.m.) yolla verildiğinde 15 dakika sonra etkili olur ve bir saatin içerisinde de maksimum kan yoğunluğuna ulaşır. %25-30 oranında serum proteinlerine bağlanır. Vücudun dokusal kesimlerine hızla ve geniş ölçüde dağılır. Plasenta, </w:t>
      </w:r>
      <w:proofErr w:type="spellStart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plöra</w:t>
      </w:r>
      <w:proofErr w:type="spellEnd"/>
      <w:r w:rsidRPr="00916B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 periton boşluklarına geçer. Büyük oranda değişmemiş halde idrarla atılır. Çok az miktarlarda olmak üzere safra ve sütle de atılır.</w:t>
      </w:r>
    </w:p>
    <w:p w:rsidR="0002579B" w:rsidRPr="00916BCE" w:rsidRDefault="0002579B" w:rsidP="0002579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843" w:rsidRPr="00916BCE" w:rsidRDefault="007A2843" w:rsidP="0002579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B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KULLANIM SAHASI/ENDİKASYONLAR </w:t>
      </w:r>
    </w:p>
    <w:p w:rsidR="004D2D38" w:rsidRPr="00916BCE" w:rsidRDefault="004D2D38" w:rsidP="004D2D38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Sığır, at, köpek ve kedilerde; </w:t>
      </w:r>
      <w:r w:rsidRPr="00916B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ab/>
      </w:r>
    </w:p>
    <w:p w:rsidR="004D2D38" w:rsidRPr="00916BCE" w:rsidRDefault="004D2D38" w:rsidP="004D2D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Solunum sistemi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4D2D38" w:rsidRPr="00916BCE" w:rsidRDefault="004D2D38" w:rsidP="004D2D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Ürogenital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sistem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(nefrit,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piyelonefrit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sistit,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metrit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endometrit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servisit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</w:p>
    <w:p w:rsidR="004D2D38" w:rsidRPr="00916BCE" w:rsidRDefault="004D2D38" w:rsidP="004D2D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Kolibasillosis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Salmonella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Gentamisine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duyarlı bakterilerin neden olduğu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bakteriyemi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septisemi, yumuşak doku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</w:p>
    <w:p w:rsidR="004D2D38" w:rsidRPr="00916BCE" w:rsidRDefault="004D2D38" w:rsidP="004D2D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Kedi ve köpekte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otitis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externa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olgusunda kullanılır.</w:t>
      </w:r>
    </w:p>
    <w:p w:rsidR="004D2D38" w:rsidRPr="00916BCE" w:rsidRDefault="004D2D38" w:rsidP="001C6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7A2843" w:rsidRPr="00916BCE" w:rsidRDefault="007A2843" w:rsidP="0002579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D38" w:rsidRPr="00916BCE" w:rsidRDefault="004D2D38" w:rsidP="004D2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KULLANIM ŞEKLİ VE DOZU</w:t>
      </w:r>
    </w:p>
    <w:p w:rsidR="004D2D38" w:rsidRPr="00916BCE" w:rsidRDefault="004D2D38" w:rsidP="004D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hekim tarafından başka şekilde tavsiye edilmediği takdirde;</w:t>
      </w:r>
    </w:p>
    <w:p w:rsidR="004D2D38" w:rsidRPr="00916BCE" w:rsidRDefault="003A353B" w:rsidP="004D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Gentamisinin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2D38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farmakolojik</w:t>
      </w:r>
      <w:proofErr w:type="gramEnd"/>
      <w:r w:rsidR="004D2D38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dozu 4 mg/kg canlı ağırlık/gün olacak şekilde doz hesaplanır. </w:t>
      </w:r>
    </w:p>
    <w:p w:rsidR="006C742B" w:rsidRPr="00916BCE" w:rsidRDefault="006C742B" w:rsidP="006C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Pratik dozlar aşağıdaki gibidir;</w:t>
      </w:r>
    </w:p>
    <w:tbl>
      <w:tblPr>
        <w:tblpPr w:leftFromText="141" w:rightFromText="141" w:vertAnchor="text" w:tblpY="1"/>
        <w:tblOverlap w:val="never"/>
        <w:tblW w:w="3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</w:tblGrid>
      <w:tr w:rsidR="006C742B" w:rsidRPr="00916BCE" w:rsidTr="006B539D">
        <w:trPr>
          <w:trHeight w:val="265"/>
        </w:trPr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Sığır, at</w:t>
            </w:r>
          </w:p>
        </w:tc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ml /</w:t>
            </w:r>
            <w:r w:rsidR="00FD316C"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 kg canlı ağırlık</w:t>
            </w:r>
          </w:p>
        </w:tc>
      </w:tr>
      <w:tr w:rsidR="006C742B" w:rsidRPr="00916BCE" w:rsidTr="006B539D">
        <w:trPr>
          <w:trHeight w:val="265"/>
        </w:trPr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Dana, düve</w:t>
            </w:r>
          </w:p>
        </w:tc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ml</w:t>
            </w:r>
            <w:r w:rsidR="00FD316C"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50 kg canlı ağırlık</w:t>
            </w:r>
          </w:p>
        </w:tc>
      </w:tr>
      <w:tr w:rsidR="006C742B" w:rsidRPr="00916BCE" w:rsidTr="006B539D">
        <w:trPr>
          <w:trHeight w:val="265"/>
        </w:trPr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Buzağı, tay</w:t>
            </w:r>
          </w:p>
        </w:tc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ml</w:t>
            </w:r>
            <w:r w:rsidR="00FD316C"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25 kg canlı ağırlık</w:t>
            </w:r>
          </w:p>
        </w:tc>
      </w:tr>
      <w:tr w:rsidR="006C742B" w:rsidRPr="00916BCE" w:rsidTr="006B539D">
        <w:trPr>
          <w:trHeight w:val="265"/>
        </w:trPr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Kedi, köpek</w:t>
            </w:r>
          </w:p>
        </w:tc>
        <w:tc>
          <w:tcPr>
            <w:tcW w:w="2500" w:type="pct"/>
          </w:tcPr>
          <w:p w:rsidR="006C742B" w:rsidRPr="00916BCE" w:rsidRDefault="006C742B" w:rsidP="006B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 ml</w:t>
            </w:r>
            <w:r w:rsidR="00FD316C"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16B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2 kg canlı ağırlık</w:t>
            </w:r>
          </w:p>
        </w:tc>
      </w:tr>
    </w:tbl>
    <w:p w:rsidR="008B3001" w:rsidRPr="00916BCE" w:rsidRDefault="008B300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3001" w:rsidRPr="00916BCE" w:rsidRDefault="008B300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3001" w:rsidRPr="00916BCE" w:rsidRDefault="008B300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3001" w:rsidRPr="00916BCE" w:rsidRDefault="008B300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3001" w:rsidRPr="00916BCE" w:rsidRDefault="008B300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2D38" w:rsidRPr="00916BCE" w:rsidRDefault="004D2D38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GENTAVET %10 Enjeksiyonluk Çözelti; kas içi (i.m.) ve deri altı (s.c.) yolla uygulanır.</w:t>
      </w:r>
    </w:p>
    <w:p w:rsidR="00206BB3" w:rsidRPr="00916BCE" w:rsidRDefault="004D2D38" w:rsidP="00206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Tedaviye ilk gün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dozu ikiye bölerek, daha sonra günde bir kez olmak üzere 3 gün devam edilir.</w:t>
      </w:r>
      <w:r w:rsidR="00206BB3"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Kesinlikle doz aşımı yapılmamalıdır, özellikle zayıf ve küçük cüsseli hayvanlarda doz ayarlaması dikkatli yapılmalıdır. Uygulama esnasında asepsi ve antisepsi kurallarına özen gösterilmelidir. </w:t>
      </w:r>
    </w:p>
    <w:p w:rsidR="008B3001" w:rsidRPr="00916BCE" w:rsidRDefault="008B3001" w:rsidP="0020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3001" w:rsidRPr="00916BCE" w:rsidRDefault="008B3001" w:rsidP="00206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600C1" w:rsidRPr="00916BCE" w:rsidRDefault="006600C1" w:rsidP="00206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ÖZEL KLİNİK BİLGİLER VE HEDEF TÜRLER İÇİN UYARILAR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A77D21" w:rsidRPr="00916BCE" w:rsidRDefault="006600C1" w:rsidP="006600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Hipovolemik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hayvanlarda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zehirliliği artmaktadır. Bu nedenle böyle hayvanlarda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aminoglikozidlerle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tedavi esnasında bu husus göz önünde bulundurularak, hastanın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rehidrasyonunun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sağlanması tavsiye edilir. Gram negatif bakteriyel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enfeksiyonların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aminoglikozidlerle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tedavisi sırasında kandaki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endotoksin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düzeyinin artarak şoka neden olabileceği unutulmaması ve bununla ilgili önlemlerin alınması tavsiye edilir. Tüm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kan basıncını ve kalp debisini düşürür, kalp hızını yavaşlatırlar. Ayrıca kan total kalsiyum seviyesini düşürürler. Hayvanın yaşı, şok,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asidoz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akut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renal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yetmezlik,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hepatik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disfonksiyon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sepsis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daha önceden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maruz kalınmış olunması, elektrolit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imbalansı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hipotansiyon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duyarlılığı arttırır. Diğer ilaçlarla olabilecek etkileşimleri nedeniyle ilaç geçimsizliği bölümü okunmalıdır.</w:t>
      </w:r>
    </w:p>
    <w:p w:rsidR="006600C1" w:rsidRPr="00916BCE" w:rsidRDefault="00F423E4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Gebelikte Kullanım</w:t>
      </w:r>
      <w:r w:rsidR="00A77D21"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Fötus</w:t>
      </w:r>
      <w:proofErr w:type="spellEnd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</w:t>
      </w:r>
      <w:proofErr w:type="spellStart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etkisi nedeniyle, gebe hayvanlarda kullanılması sakıncalıdır.</w:t>
      </w:r>
    </w:p>
    <w:p w:rsidR="007A2843" w:rsidRPr="00916BCE" w:rsidRDefault="007A2843" w:rsidP="000257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tr-TR"/>
        </w:rPr>
      </w:pPr>
    </w:p>
    <w:p w:rsidR="006600C1" w:rsidRPr="00916BCE" w:rsidRDefault="006600C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t>İSTENMEYEN/YAN ETKİLER</w:t>
      </w:r>
    </w:p>
    <w:p w:rsidR="006600C1" w:rsidRPr="00916BCE" w:rsidRDefault="006600C1" w:rsidP="00A20E7F">
      <w:pPr>
        <w:ind w:right="-2"/>
        <w:jc w:val="both"/>
        <w:rPr>
          <w:rFonts w:ascii="Times New Roman" w:eastAsia="Times New Roman" w:hAnsi="Times New Roman" w:cs="Times New Roman"/>
          <w:b/>
          <w:strike/>
          <w:noProof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Aminoglikozid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grubu antibiyotikler iç kulak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organelleri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kulak çınlaması, denge ve işitme kaybı ile sonuçlanan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 oluşturabilir. Uzun süreli kullanımları böbrekler üzerinde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toksik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 oluşturarak böbrek yetmezliğine sebep olabilir ancak bu etkiler tedavinin sonlandırılması ile ortadan kalkar.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Aminoglikozidler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sinaptik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reseptörlere bağlanarak 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nöro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musküler</w:t>
      </w:r>
      <w:proofErr w:type="spell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blokaja</w:t>
      </w:r>
      <w:proofErr w:type="gram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 olabilir. Köpeklerde </w:t>
      </w:r>
      <w:proofErr w:type="gram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enjeksiyon</w:t>
      </w:r>
      <w:proofErr w:type="gramEnd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bölgesinde geçici reaksiyon görülebilir. </w:t>
      </w:r>
    </w:p>
    <w:p w:rsidR="006600C1" w:rsidRPr="00916BCE" w:rsidRDefault="006600C1" w:rsidP="0066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13204" w:rsidRPr="00916BCE" w:rsidRDefault="00A13204" w:rsidP="0002579B">
      <w:pPr>
        <w:pStyle w:val="GvdeMetni2"/>
        <w:ind w:right="81"/>
        <w:rPr>
          <w:rFonts w:ascii="Times New Roman" w:hAnsi="Times New Roman"/>
          <w:b/>
          <w:bCs w:val="0"/>
          <w:color w:val="000000" w:themeColor="text1"/>
        </w:rPr>
      </w:pPr>
      <w:r w:rsidRPr="00916BCE">
        <w:rPr>
          <w:rFonts w:ascii="Times New Roman" w:hAnsi="Times New Roman"/>
          <w:b/>
          <w:bCs w:val="0"/>
          <w:color w:val="000000" w:themeColor="text1"/>
        </w:rPr>
        <w:t>İLAÇ ETKİLEŞİMLERİ</w:t>
      </w:r>
    </w:p>
    <w:p w:rsidR="00A77D21" w:rsidRPr="00916BCE" w:rsidRDefault="00A77D21" w:rsidP="00A77D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yan etkileri nedeniyle diğer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aminoglikozidlerle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nörotoksik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nefrotoksik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ototoksik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tedavilerle eş zamanlı uygulanmamalıdır.  Yine böbreklere zararlı etkileri olan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tetrasiklinler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sulfonamidler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gibi ilaçlar ile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nöromuskuler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blokaj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yapıcı diğer ilaçlarla,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anesteziklerle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nonsteroidal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antienflamatuvarlarla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birlikte kullanılmamalıdır. Demir preparatları,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furosemid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amfoterisin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polimiksin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vankomisin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sefalotrin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birlikte kullanılmaları durumunda böbrek ve iç kulak üzerindeki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toksik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etki artar. 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Gentamisin</w:t>
      </w:r>
      <w:proofErr w:type="spellEnd"/>
      <w:r w:rsidR="00FD316C"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ampisilin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sodyum,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furosemid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sefalotin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sodyum,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heparin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sodyum,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sefapirin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sodyum ile kullanılmamalıdır. </w:t>
      </w:r>
    </w:p>
    <w:p w:rsidR="00A77D21" w:rsidRPr="00916BCE" w:rsidRDefault="00A77D21" w:rsidP="00025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1C66D1" w:rsidRPr="00916BCE" w:rsidRDefault="001C66D1" w:rsidP="001C6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DOZ AŞIMINDA BE</w:t>
      </w:r>
      <w:r w:rsidR="00A77D21"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LİRTİLER, TEDBİRLER VE ANTİDOT</w:t>
      </w:r>
      <w:r w:rsidR="006C742B"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LAR</w:t>
      </w: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p w:rsidR="00A77D21" w:rsidRPr="00916BCE" w:rsidRDefault="00A77D21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Doz aşımında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nöromuskuler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blokajı</w:t>
      </w:r>
      <w:proofErr w:type="gram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önlemek için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edrofonyum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(0,5 mg/kg), kalsiyum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klorit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(10-20 mg/kg), kalsiyum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glukonat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(30-60 mg/kg) veya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neostigmin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(100-200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mcg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/kg) seçeneklerinden biri kullanılabilir.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Renal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toksisiteyi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durdurmak için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aminoglikozid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uygulanması durdurulmalı,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diüresisi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sağlamak amaçlı </w:t>
      </w: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poliiyonik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sıvı tedavisi uygulanmalıdır. </w:t>
      </w:r>
    </w:p>
    <w:p w:rsidR="006C742B" w:rsidRPr="00916BCE" w:rsidRDefault="006C742B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20E7F" w:rsidRPr="00916BCE" w:rsidRDefault="00A20E7F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20E7F" w:rsidRPr="00916BCE" w:rsidRDefault="00A20E7F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GIDALARD</w:t>
      </w:r>
      <w:r w:rsidR="002B6C41"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</w:t>
      </w: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İLAÇ KALINTILARI HAKKINDA UYARILAR </w:t>
      </w:r>
    </w:p>
    <w:p w:rsidR="00A77D21" w:rsidRPr="00916BCE" w:rsidRDefault="00A77D21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İlaç kalıntı arınma süresi (i.k.a.s); Tedavi süresince ve son ilaç uygulamasından sonra eti için yetiştirilen sığırlar 80 gün geçmeden kesime gönderilmemelidir. Tedavi süresince ve son ilaç uygulamasından sonra 2 gün (4 sağım) süreyle elde edilen inek sütleri insan tüketimine sunulmamalıdır.</w:t>
      </w:r>
    </w:p>
    <w:p w:rsidR="00206BB3" w:rsidRPr="00916BCE" w:rsidRDefault="00206BB3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8B3001" w:rsidRPr="00916BCE" w:rsidRDefault="008B3001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KONTRENDİKASYONLAR</w:t>
      </w:r>
    </w:p>
    <w:p w:rsidR="002430AB" w:rsidRPr="00916BCE" w:rsidRDefault="00A77D21" w:rsidP="00025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Aminoglikozidlere</w:t>
      </w:r>
      <w:proofErr w:type="spellEnd"/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duyarlı olduğu bilinen hayvanlarda, özellikle böbrek ve/veya karaciğer yetmezliği, denge ve işitme organları ile ilgili hastalığı olan hayvanlarda kullanılmamalıdır. </w:t>
      </w:r>
    </w:p>
    <w:p w:rsidR="008B3001" w:rsidRPr="00916BCE" w:rsidRDefault="008B3001" w:rsidP="00A77D21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206BB3" w:rsidRPr="00916BCE" w:rsidRDefault="006B319A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GENEL UYARILAR</w:t>
      </w:r>
    </w:p>
    <w:p w:rsidR="00A77D21" w:rsidRPr="00916BCE" w:rsidRDefault="00A77D21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Kullanmadan önce ve beklenmeyen bir etki görüldüğünde veteriner hekime danışınız. Çocukların ulaşamayacağı yerde bulundurunuz.</w:t>
      </w:r>
    </w:p>
    <w:p w:rsidR="00E636C0" w:rsidRPr="00916BCE" w:rsidRDefault="00E636C0" w:rsidP="0002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A77D21" w:rsidRPr="00916BCE" w:rsidRDefault="00A77D21" w:rsidP="00A7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UYGULAYICININ ALMASI GEREKEN ÖNLEMLER VE HEKİMLER İÇİN UYARILAR</w:t>
      </w:r>
    </w:p>
    <w:p w:rsidR="00A77D21" w:rsidRPr="00916BCE" w:rsidRDefault="006C742B" w:rsidP="00A7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Genta</w:t>
      </w:r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misine</w:t>
      </w:r>
      <w:proofErr w:type="spellEnd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duyarlı olduğu bilinen kişiler ürün ile temastan kaçınmalıdır. Kullanım sırasında uygun koruyucu </w:t>
      </w:r>
      <w:proofErr w:type="gramStart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(eldiven, maske, gözlük vb.) kullanılmalıdır. </w:t>
      </w:r>
      <w:r w:rsidR="00A77D21" w:rsidRPr="00916BCE">
        <w:rPr>
          <w:rFonts w:ascii="Times New Roman" w:hAnsi="Times New Roman" w:cs="Times New Roman"/>
          <w:sz w:val="24"/>
          <w:szCs w:val="24"/>
        </w:rPr>
        <w:t>Ürünün deri ve göz ile temasından kaçınınız. Temas halinde deri ve gözler bol su ile yıkanmalıdır.</w:t>
      </w:r>
      <w:r w:rsidR="00A77D21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 </w:t>
      </w:r>
      <w:r w:rsidR="00A77D21" w:rsidRPr="00916BCE">
        <w:rPr>
          <w:rFonts w:ascii="Times New Roman" w:hAnsi="Times New Roman" w:cs="Times New Roman"/>
          <w:sz w:val="24"/>
          <w:szCs w:val="24"/>
        </w:rPr>
        <w:t xml:space="preserve">sonrası yüz, göz ve dudaklarda şişme, nefes almada zorluk ve taşikardi gibi belirtilerin meydana gelmesi halinde acil tıbbi </w:t>
      </w:r>
      <w:proofErr w:type="spellStart"/>
      <w:r w:rsidR="00A77D21" w:rsidRPr="00916BCE">
        <w:rPr>
          <w:rFonts w:ascii="Times New Roman" w:hAnsi="Times New Roman" w:cs="Times New Roman"/>
          <w:sz w:val="24"/>
          <w:szCs w:val="24"/>
        </w:rPr>
        <w:t>müdahele</w:t>
      </w:r>
      <w:proofErr w:type="spellEnd"/>
      <w:r w:rsidR="00A77D21" w:rsidRPr="00916BCE">
        <w:rPr>
          <w:rFonts w:ascii="Times New Roman" w:hAnsi="Times New Roman" w:cs="Times New Roman"/>
          <w:sz w:val="24"/>
          <w:szCs w:val="24"/>
        </w:rPr>
        <w:t xml:space="preserve"> gerekir. Böyle bir durumda ilaç etiket ve </w:t>
      </w:r>
      <w:proofErr w:type="gramStart"/>
      <w:r w:rsidR="00A77D21" w:rsidRPr="00916BCE">
        <w:rPr>
          <w:rFonts w:ascii="Times New Roman" w:hAnsi="Times New Roman" w:cs="Times New Roman"/>
          <w:sz w:val="24"/>
          <w:szCs w:val="24"/>
        </w:rPr>
        <w:t>prospektüsü</w:t>
      </w:r>
      <w:proofErr w:type="gramEnd"/>
      <w:r w:rsidR="00A77D21" w:rsidRPr="00916BCE">
        <w:rPr>
          <w:rFonts w:ascii="Times New Roman" w:hAnsi="Times New Roman" w:cs="Times New Roman"/>
          <w:sz w:val="24"/>
          <w:szCs w:val="24"/>
        </w:rPr>
        <w:t xml:space="preserve"> ile doktora başvurunuz. </w:t>
      </w:r>
    </w:p>
    <w:p w:rsidR="00A77D21" w:rsidRPr="00916BCE" w:rsidRDefault="00A77D21" w:rsidP="006B319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B319A" w:rsidRPr="00916BCE" w:rsidRDefault="006B319A" w:rsidP="006B319A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MUHAFAZA ŞARTLARI VE Raf Ömrü</w:t>
      </w:r>
    </w:p>
    <w:p w:rsidR="00F423E4" w:rsidRPr="00916BCE" w:rsidRDefault="00F423E4" w:rsidP="00F423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BCE">
        <w:rPr>
          <w:rFonts w:ascii="Times New Roman" w:hAnsi="Times New Roman" w:cs="Times New Roman"/>
          <w:bCs/>
          <w:sz w:val="24"/>
          <w:szCs w:val="24"/>
        </w:rPr>
        <w:t>25°</w:t>
      </w:r>
      <w:proofErr w:type="spellStart"/>
      <w:r w:rsidRPr="00916BCE">
        <w:rPr>
          <w:rFonts w:ascii="Times New Roman" w:hAnsi="Times New Roman" w:cs="Times New Roman"/>
          <w:bCs/>
          <w:sz w:val="24"/>
          <w:szCs w:val="24"/>
        </w:rPr>
        <w:t>C’nin</w:t>
      </w:r>
      <w:proofErr w:type="spellEnd"/>
      <w:r w:rsidRPr="00916BCE">
        <w:rPr>
          <w:rFonts w:ascii="Times New Roman" w:hAnsi="Times New Roman" w:cs="Times New Roman"/>
          <w:bCs/>
          <w:sz w:val="24"/>
          <w:szCs w:val="24"/>
        </w:rPr>
        <w:t xml:space="preserve"> altında oda sıcaklığında, ışıktan koruyarak, </w:t>
      </w:r>
      <w:r w:rsidRPr="00916BCE">
        <w:rPr>
          <w:rFonts w:ascii="Times New Roman" w:hAnsi="Times New Roman" w:cs="Times New Roman"/>
          <w:sz w:val="24"/>
          <w:szCs w:val="24"/>
          <w:lang w:eastAsia="tr-TR"/>
        </w:rPr>
        <w:t>buzdolabı ve derin dondurucuya konulmadan</w:t>
      </w:r>
      <w:r w:rsidRPr="00916BCE">
        <w:rPr>
          <w:rFonts w:ascii="Times New Roman" w:hAnsi="Times New Roman" w:cs="Times New Roman"/>
          <w:bCs/>
          <w:sz w:val="24"/>
          <w:szCs w:val="24"/>
        </w:rPr>
        <w:t xml:space="preserve"> saklandığında raf ömrü üreti</w:t>
      </w:r>
      <w:r w:rsidR="00422E75" w:rsidRPr="00916BCE">
        <w:rPr>
          <w:rFonts w:ascii="Times New Roman" w:hAnsi="Times New Roman" w:cs="Times New Roman"/>
          <w:bCs/>
          <w:sz w:val="24"/>
          <w:szCs w:val="24"/>
        </w:rPr>
        <w:t>m tarihinden itibaren 36 aydır</w:t>
      </w:r>
      <w:r w:rsidR="0071754C" w:rsidRPr="00916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BB3" w:rsidRPr="00916BCE">
        <w:rPr>
          <w:rFonts w:ascii="Times New Roman" w:hAnsi="Times New Roman" w:cs="Times New Roman"/>
          <w:bCs/>
          <w:sz w:val="24"/>
          <w:szCs w:val="24"/>
        </w:rPr>
        <w:t>(250 ml için 24 aydır)</w:t>
      </w:r>
      <w:r w:rsidR="00422E75" w:rsidRPr="00916BCE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3E4" w:rsidRPr="00916BCE" w:rsidRDefault="00F423E4" w:rsidP="00F423E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hAnsi="Times New Roman" w:cs="Times New Roman"/>
          <w:sz w:val="24"/>
          <w:szCs w:val="24"/>
          <w:lang w:eastAsia="tr-TR"/>
        </w:rPr>
        <w:t>Ürün ilk açıldıktan sonra 25º</w:t>
      </w:r>
      <w:proofErr w:type="spellStart"/>
      <w:r w:rsidRPr="00916BCE">
        <w:rPr>
          <w:rFonts w:ascii="Times New Roman" w:hAnsi="Times New Roman" w:cs="Times New Roman"/>
          <w:sz w:val="24"/>
          <w:szCs w:val="24"/>
          <w:lang w:eastAsia="tr-TR"/>
        </w:rPr>
        <w:t>C’nin</w:t>
      </w:r>
      <w:proofErr w:type="spellEnd"/>
      <w:r w:rsidRPr="00916BCE">
        <w:rPr>
          <w:rFonts w:ascii="Times New Roman" w:hAnsi="Times New Roman" w:cs="Times New Roman"/>
          <w:sz w:val="24"/>
          <w:szCs w:val="24"/>
          <w:lang w:eastAsia="tr-TR"/>
        </w:rPr>
        <w:t xml:space="preserve"> altında oda sıcaklığında, </w:t>
      </w:r>
      <w:r w:rsidRPr="00916BCE">
        <w:rPr>
          <w:rFonts w:ascii="Times New Roman" w:hAnsi="Times New Roman" w:cs="Times New Roman"/>
          <w:bCs/>
          <w:sz w:val="24"/>
          <w:szCs w:val="24"/>
        </w:rPr>
        <w:t xml:space="preserve">ışıktan koruyarak, </w:t>
      </w:r>
      <w:r w:rsidRPr="00916BCE">
        <w:rPr>
          <w:rFonts w:ascii="Times New Roman" w:hAnsi="Times New Roman" w:cs="Times New Roman"/>
          <w:sz w:val="24"/>
          <w:szCs w:val="24"/>
          <w:lang w:eastAsia="tr-TR"/>
        </w:rPr>
        <w:t xml:space="preserve">buzdolabı ve derin dondurucuya konulmadan muhafaza edilmelidir. </w:t>
      </w:r>
      <w:r w:rsidRPr="00916BCE">
        <w:rPr>
          <w:rFonts w:ascii="Times New Roman" w:hAnsi="Times New Roman" w:cs="Times New Roman"/>
          <w:bCs/>
          <w:sz w:val="24"/>
          <w:szCs w:val="24"/>
        </w:rPr>
        <w:t xml:space="preserve">Ürün </w:t>
      </w:r>
      <w:r w:rsidRPr="00916BCE">
        <w:rPr>
          <w:rFonts w:ascii="Times New Roman" w:hAnsi="Times New Roman" w:cs="Times New Roman"/>
          <w:sz w:val="24"/>
          <w:szCs w:val="24"/>
          <w:lang w:eastAsia="tr-TR"/>
        </w:rPr>
        <w:t>ilk açıldıktan sonra 28 gün içerisinde kullanılmalıdır. Şişelerin tapası en fazla 40 kez delinebilir.</w:t>
      </w:r>
    </w:p>
    <w:p w:rsidR="00F423E4" w:rsidRPr="00916BCE" w:rsidRDefault="00F423E4" w:rsidP="009F6192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20E7F" w:rsidRPr="00916BCE" w:rsidRDefault="006B319A" w:rsidP="00A20E7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Tİcari TAKDİM Şeklİ </w:t>
      </w:r>
    </w:p>
    <w:p w:rsidR="00F423E4" w:rsidRPr="00916BCE" w:rsidRDefault="00A20E7F" w:rsidP="00A20E7F">
      <w:pPr>
        <w:tabs>
          <w:tab w:val="left" w:pos="-6237"/>
          <w:tab w:val="left" w:pos="-2268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BCE">
        <w:rPr>
          <w:rFonts w:ascii="Times New Roman" w:eastAsia="Arial Unicode MS" w:hAnsi="Times New Roman" w:cs="Times New Roman"/>
          <w:sz w:val="24"/>
          <w:szCs w:val="24"/>
        </w:rPr>
        <w:t xml:space="preserve">50, </w:t>
      </w:r>
      <w:r w:rsidRPr="00916BCE">
        <w:rPr>
          <w:rFonts w:ascii="Times New Roman" w:hAnsi="Times New Roman" w:cs="Times New Roman"/>
          <w:sz w:val="24"/>
          <w:szCs w:val="24"/>
        </w:rPr>
        <w:t xml:space="preserve">100 ve 250 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 xml:space="preserve"> amber renkli, Tip I cam şişeler karton kutularda </w:t>
      </w:r>
      <w:proofErr w:type="gramStart"/>
      <w:r w:rsidRPr="00916BCE">
        <w:rPr>
          <w:rFonts w:ascii="Times New Roman" w:hAnsi="Times New Roman" w:cs="Times New Roman"/>
          <w:sz w:val="24"/>
          <w:szCs w:val="24"/>
        </w:rPr>
        <w:t>prospektüs</w:t>
      </w:r>
      <w:proofErr w:type="gramEnd"/>
      <w:r w:rsidRPr="00916BCE">
        <w:rPr>
          <w:rFonts w:ascii="Times New Roman" w:hAnsi="Times New Roman" w:cs="Times New Roman"/>
          <w:sz w:val="24"/>
          <w:szCs w:val="24"/>
        </w:rPr>
        <w:t xml:space="preserve"> ile birlikte sunulmaktadır.50 ve 100 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 xml:space="preserve"> şişeler kırmızı renkli 20 mm lastik tapa ve alüminyum-plastik beyaz 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 xml:space="preserve"> kapak;</w:t>
      </w:r>
      <w:r w:rsidRPr="00916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6BCE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 xml:space="preserve"> şişeler gri renkli 32 mm lastik tapa ve alüminyum-plastik beyaz 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6BC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916BCE">
        <w:rPr>
          <w:rFonts w:ascii="Times New Roman" w:hAnsi="Times New Roman" w:cs="Times New Roman"/>
          <w:sz w:val="24"/>
          <w:szCs w:val="24"/>
        </w:rPr>
        <w:t xml:space="preserve"> kapak ile kapatılmaktadır.</w:t>
      </w:r>
    </w:p>
    <w:p w:rsidR="00F423E4" w:rsidRPr="00916BCE" w:rsidRDefault="00F423E4" w:rsidP="00F42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tr-TR"/>
        </w:rPr>
        <w:t>KULLANIM SONU İMHA VE HEDEF OLMAYAN TÜRLER İÇİN UYARILAR</w:t>
      </w:r>
    </w:p>
    <w:p w:rsidR="00A20E7F" w:rsidRPr="00916BCE" w:rsidRDefault="00F423E4" w:rsidP="00A20E7F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16BC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>Kullanılmamış veteriner tıbbi ürün veya bu üründen arta kalan atılacak materyalleri, yerel yasaların gerekliliklerine göre imha edilmelidir.</w:t>
      </w:r>
    </w:p>
    <w:p w:rsidR="00A20E7F" w:rsidRPr="00916BCE" w:rsidRDefault="006B319A" w:rsidP="00A20E7F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16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SATIŞ YERİ VE ŞARTLARI</w:t>
      </w:r>
    </w:p>
    <w:p w:rsidR="006B319A" w:rsidRPr="00916BCE" w:rsidRDefault="006B319A" w:rsidP="0006167E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Veteriner hekim reçetesi ile eczanelerde ve veteriner muayenehanelerinde satılır</w:t>
      </w:r>
      <w:r w:rsidR="00A8194A"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(VHR) </w:t>
      </w: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PROSPEKTÜS ONAY TARİHİ: </w:t>
      </w:r>
      <w:r w:rsidR="006B539D" w:rsidRPr="00916B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12.11.18</w:t>
      </w:r>
    </w:p>
    <w:p w:rsidR="008B3001" w:rsidRPr="00916BCE" w:rsidRDefault="008B3001" w:rsidP="006B319A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6B319A" w:rsidRPr="00916BCE" w:rsidRDefault="000A00A5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TARIM VE ORMAN BAKANLIĞI PAZARLAMA İZ</w:t>
      </w:r>
      <w:r w:rsidR="002A5012"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İN</w:t>
      </w:r>
      <w:r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TARİH VE NO:</w:t>
      </w:r>
      <w:r w:rsidR="00422E75"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423E4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27.09.2001</w:t>
      </w:r>
      <w:r w:rsidR="006B319A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423E4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010</w:t>
      </w:r>
      <w:r w:rsidR="006B319A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/0</w:t>
      </w:r>
      <w:r w:rsidR="00F423E4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974</w:t>
      </w: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PAZARLAMA İZİN </w:t>
      </w:r>
      <w:r w:rsidRPr="00916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SAHİBİNİN ADI VE ADRESİ</w:t>
      </w:r>
      <w:r w:rsidRPr="00916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206BB3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DEVA Holding A.Ş. </w:t>
      </w:r>
      <w:r w:rsidRPr="00916B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t>Halkalı Merkez Mah</w:t>
      </w:r>
      <w:r w:rsidR="00576443" w:rsidRPr="00916B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t>allesi</w:t>
      </w:r>
      <w:r w:rsidRPr="00916BC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t xml:space="preserve"> Basın Ekspres Cad. No:1 </w:t>
      </w:r>
      <w:r w:rsidR="00576443" w:rsidRPr="00916BC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K.Çekmece/İstanbul     </w:t>
      </w:r>
    </w:p>
    <w:p w:rsidR="008B3001" w:rsidRPr="00916BCE" w:rsidRDefault="008B3001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ÜRETİM YERİ ADI VE ADRESİ </w:t>
      </w:r>
    </w:p>
    <w:p w:rsidR="006B319A" w:rsidRPr="00916BCE" w:rsidRDefault="006B319A" w:rsidP="006B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DEVA</w:t>
      </w:r>
      <w:r w:rsidR="00C20646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Holding. A.Ş. </w:t>
      </w:r>
    </w:p>
    <w:p w:rsidR="000B1F8B" w:rsidRPr="00916BCE" w:rsidRDefault="006B319A" w:rsidP="000616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Dumlupına</w:t>
      </w:r>
      <w:r w:rsidR="00A8194A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Mah. Ankara Cad. No:2 </w:t>
      </w:r>
      <w:proofErr w:type="spellStart"/>
      <w:r w:rsidR="00A8194A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>Kartepe</w:t>
      </w:r>
      <w:proofErr w:type="spellEnd"/>
      <w:r w:rsidR="00A8194A"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Pr="00916B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Kocaeli  </w:t>
      </w:r>
    </w:p>
    <w:sectPr w:rsidR="000B1F8B" w:rsidRPr="00916BCE" w:rsidSect="001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BB" w:rsidRDefault="001B29BB" w:rsidP="00C952E1">
      <w:pPr>
        <w:spacing w:after="0" w:line="240" w:lineRule="auto"/>
      </w:pPr>
      <w:r>
        <w:separator/>
      </w:r>
    </w:p>
  </w:endnote>
  <w:endnote w:type="continuationSeparator" w:id="0">
    <w:p w:rsidR="001B29BB" w:rsidRDefault="001B29BB" w:rsidP="00C9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BB" w:rsidRDefault="001B29BB" w:rsidP="00C952E1">
      <w:pPr>
        <w:spacing w:after="0" w:line="240" w:lineRule="auto"/>
      </w:pPr>
      <w:r>
        <w:separator/>
      </w:r>
    </w:p>
  </w:footnote>
  <w:footnote w:type="continuationSeparator" w:id="0">
    <w:p w:rsidR="001B29BB" w:rsidRDefault="001B29BB" w:rsidP="00C9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6266"/>
    <w:multiLevelType w:val="hybridMultilevel"/>
    <w:tmpl w:val="EF7AE3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93B45"/>
    <w:rsid w:val="0002579B"/>
    <w:rsid w:val="000400F6"/>
    <w:rsid w:val="00050135"/>
    <w:rsid w:val="00050F72"/>
    <w:rsid w:val="0006167E"/>
    <w:rsid w:val="00071313"/>
    <w:rsid w:val="000845C7"/>
    <w:rsid w:val="000A00A5"/>
    <w:rsid w:val="000B0911"/>
    <w:rsid w:val="000B1F8B"/>
    <w:rsid w:val="000D394A"/>
    <w:rsid w:val="000E4CB0"/>
    <w:rsid w:val="000E5522"/>
    <w:rsid w:val="000E7167"/>
    <w:rsid w:val="00102368"/>
    <w:rsid w:val="00106BBA"/>
    <w:rsid w:val="001142EA"/>
    <w:rsid w:val="00116593"/>
    <w:rsid w:val="001673E5"/>
    <w:rsid w:val="001A1BBE"/>
    <w:rsid w:val="001B29BB"/>
    <w:rsid w:val="001B717E"/>
    <w:rsid w:val="001C66D1"/>
    <w:rsid w:val="00206BB3"/>
    <w:rsid w:val="002321EC"/>
    <w:rsid w:val="002336B9"/>
    <w:rsid w:val="00241FC8"/>
    <w:rsid w:val="002430AB"/>
    <w:rsid w:val="00253072"/>
    <w:rsid w:val="002716E2"/>
    <w:rsid w:val="00274B40"/>
    <w:rsid w:val="00274D6C"/>
    <w:rsid w:val="00287A6C"/>
    <w:rsid w:val="002A5012"/>
    <w:rsid w:val="002B6C41"/>
    <w:rsid w:val="00302F87"/>
    <w:rsid w:val="00322734"/>
    <w:rsid w:val="00324A18"/>
    <w:rsid w:val="003710B8"/>
    <w:rsid w:val="00377ADD"/>
    <w:rsid w:val="003974A5"/>
    <w:rsid w:val="003A353B"/>
    <w:rsid w:val="004126B4"/>
    <w:rsid w:val="004148CA"/>
    <w:rsid w:val="00422E75"/>
    <w:rsid w:val="004877CF"/>
    <w:rsid w:val="004C3A61"/>
    <w:rsid w:val="004D2D38"/>
    <w:rsid w:val="004D6869"/>
    <w:rsid w:val="004E0F30"/>
    <w:rsid w:val="004E2B35"/>
    <w:rsid w:val="00526B1A"/>
    <w:rsid w:val="00546619"/>
    <w:rsid w:val="00570E33"/>
    <w:rsid w:val="00576443"/>
    <w:rsid w:val="005C10EC"/>
    <w:rsid w:val="005C5829"/>
    <w:rsid w:val="005E3D7E"/>
    <w:rsid w:val="006443E2"/>
    <w:rsid w:val="006600C1"/>
    <w:rsid w:val="00687CAD"/>
    <w:rsid w:val="006A1B42"/>
    <w:rsid w:val="006B319A"/>
    <w:rsid w:val="006B539D"/>
    <w:rsid w:val="006C742B"/>
    <w:rsid w:val="00702972"/>
    <w:rsid w:val="0071754C"/>
    <w:rsid w:val="007A2843"/>
    <w:rsid w:val="007A3A2D"/>
    <w:rsid w:val="007B6ED8"/>
    <w:rsid w:val="007D6FE8"/>
    <w:rsid w:val="007E77B3"/>
    <w:rsid w:val="007F4EDC"/>
    <w:rsid w:val="008011C0"/>
    <w:rsid w:val="00804B98"/>
    <w:rsid w:val="00805862"/>
    <w:rsid w:val="00805A5B"/>
    <w:rsid w:val="00820FA0"/>
    <w:rsid w:val="00835D08"/>
    <w:rsid w:val="00850AFB"/>
    <w:rsid w:val="0085217B"/>
    <w:rsid w:val="00854946"/>
    <w:rsid w:val="00874D51"/>
    <w:rsid w:val="00893B45"/>
    <w:rsid w:val="008B3001"/>
    <w:rsid w:val="008C5E85"/>
    <w:rsid w:val="008D0DB2"/>
    <w:rsid w:val="008E6D34"/>
    <w:rsid w:val="0090192C"/>
    <w:rsid w:val="00916BCE"/>
    <w:rsid w:val="00932D65"/>
    <w:rsid w:val="00936BAF"/>
    <w:rsid w:val="00967845"/>
    <w:rsid w:val="0098153F"/>
    <w:rsid w:val="00992822"/>
    <w:rsid w:val="009F27ED"/>
    <w:rsid w:val="009F6192"/>
    <w:rsid w:val="00A13204"/>
    <w:rsid w:val="00A14396"/>
    <w:rsid w:val="00A20E7F"/>
    <w:rsid w:val="00A30A91"/>
    <w:rsid w:val="00A518F6"/>
    <w:rsid w:val="00A77D21"/>
    <w:rsid w:val="00A8194A"/>
    <w:rsid w:val="00AA4877"/>
    <w:rsid w:val="00AA7AF3"/>
    <w:rsid w:val="00AB1E39"/>
    <w:rsid w:val="00AC3C1B"/>
    <w:rsid w:val="00AE427E"/>
    <w:rsid w:val="00B14773"/>
    <w:rsid w:val="00B55234"/>
    <w:rsid w:val="00B767C9"/>
    <w:rsid w:val="00B907AD"/>
    <w:rsid w:val="00BA2194"/>
    <w:rsid w:val="00BB0714"/>
    <w:rsid w:val="00C00D57"/>
    <w:rsid w:val="00C20646"/>
    <w:rsid w:val="00C208AD"/>
    <w:rsid w:val="00C261B0"/>
    <w:rsid w:val="00C33AE4"/>
    <w:rsid w:val="00C952E1"/>
    <w:rsid w:val="00C975C4"/>
    <w:rsid w:val="00D035A4"/>
    <w:rsid w:val="00D24BE9"/>
    <w:rsid w:val="00D344C7"/>
    <w:rsid w:val="00D816A5"/>
    <w:rsid w:val="00DD38ED"/>
    <w:rsid w:val="00E27B55"/>
    <w:rsid w:val="00E36BE0"/>
    <w:rsid w:val="00E57CF5"/>
    <w:rsid w:val="00E636C0"/>
    <w:rsid w:val="00E82A68"/>
    <w:rsid w:val="00EB749F"/>
    <w:rsid w:val="00EC38ED"/>
    <w:rsid w:val="00ED2ECF"/>
    <w:rsid w:val="00F0137E"/>
    <w:rsid w:val="00F23CF4"/>
    <w:rsid w:val="00F32A29"/>
    <w:rsid w:val="00F423E4"/>
    <w:rsid w:val="00F46930"/>
    <w:rsid w:val="00F772D3"/>
    <w:rsid w:val="00F9794D"/>
    <w:rsid w:val="00FC23D2"/>
    <w:rsid w:val="00FD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7E"/>
  </w:style>
  <w:style w:type="paragraph" w:styleId="Balk1">
    <w:name w:val="heading 1"/>
    <w:basedOn w:val="Normal"/>
    <w:next w:val="Normal"/>
    <w:link w:val="Balk1Char"/>
    <w:qFormat/>
    <w:rsid w:val="001C66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1C66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B5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9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B45"/>
  </w:style>
  <w:style w:type="paragraph" w:styleId="AralkYok">
    <w:name w:val="No Spacing"/>
    <w:uiPriority w:val="1"/>
    <w:qFormat/>
    <w:rsid w:val="00893B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9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2E1"/>
  </w:style>
  <w:style w:type="table" w:styleId="TabloKlavuzu">
    <w:name w:val="Table Grid"/>
    <w:basedOn w:val="NormalTablo"/>
    <w:uiPriority w:val="59"/>
    <w:rsid w:val="0068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91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A13204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A13204"/>
    <w:rPr>
      <w:rFonts w:ascii="Arial" w:eastAsia="Times New Roman" w:hAnsi="Arial" w:cs="Times New Roman"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20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1C6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1C6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B5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20E7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2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ghaciibrahimoglu</dc:creator>
  <cp:lastModifiedBy>acoban</cp:lastModifiedBy>
  <cp:revision>49</cp:revision>
  <cp:lastPrinted>2017-03-27T07:15:00Z</cp:lastPrinted>
  <dcterms:created xsi:type="dcterms:W3CDTF">2017-03-23T12:40:00Z</dcterms:created>
  <dcterms:modified xsi:type="dcterms:W3CDTF">2019-05-16T07:45:00Z</dcterms:modified>
</cp:coreProperties>
</file>