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E" w:rsidRPr="003869AE" w:rsidRDefault="00B3261E" w:rsidP="009E579D">
      <w:pPr>
        <w:jc w:val="center"/>
        <w:rPr>
          <w:bCs/>
          <w:color w:val="000000" w:themeColor="text1"/>
        </w:rPr>
      </w:pPr>
      <w:r w:rsidRPr="003869AE">
        <w:rPr>
          <w:bCs/>
          <w:color w:val="000000" w:themeColor="text1"/>
        </w:rPr>
        <w:t>Sadece Hayvan Sağlığında Kullanılır</w:t>
      </w:r>
    </w:p>
    <w:p w:rsidR="00B3261E" w:rsidRPr="003869AE" w:rsidRDefault="00B3261E" w:rsidP="009E579D">
      <w:pPr>
        <w:jc w:val="center"/>
        <w:rPr>
          <w:b/>
          <w:color w:val="000000" w:themeColor="text1"/>
        </w:rPr>
      </w:pPr>
      <w:r w:rsidRPr="003869AE">
        <w:rPr>
          <w:b/>
          <w:color w:val="000000" w:themeColor="text1"/>
        </w:rPr>
        <w:t>LEVATRİZOL</w:t>
      </w:r>
    </w:p>
    <w:p w:rsidR="00B3261E" w:rsidRPr="003869AE" w:rsidRDefault="00B3261E" w:rsidP="009E579D">
      <w:pPr>
        <w:jc w:val="center"/>
        <w:rPr>
          <w:b/>
          <w:color w:val="000000" w:themeColor="text1"/>
        </w:rPr>
      </w:pPr>
      <w:r w:rsidRPr="003869AE">
        <w:rPr>
          <w:b/>
          <w:color w:val="000000" w:themeColor="text1"/>
        </w:rPr>
        <w:t>Oral Tablet</w:t>
      </w:r>
    </w:p>
    <w:p w:rsidR="00B3261E" w:rsidRPr="003869AE" w:rsidRDefault="00B3261E" w:rsidP="009E579D">
      <w:pPr>
        <w:jc w:val="center"/>
        <w:rPr>
          <w:color w:val="000000" w:themeColor="text1"/>
        </w:rPr>
      </w:pPr>
      <w:r w:rsidRPr="003869AE">
        <w:rPr>
          <w:color w:val="000000" w:themeColor="text1"/>
        </w:rPr>
        <w:t xml:space="preserve">Veteriner </w:t>
      </w:r>
      <w:proofErr w:type="spellStart"/>
      <w:r w:rsidRPr="003869AE">
        <w:rPr>
          <w:color w:val="000000" w:themeColor="text1"/>
        </w:rPr>
        <w:t>Antihelmintik</w:t>
      </w:r>
      <w:proofErr w:type="spellEnd"/>
    </w:p>
    <w:p w:rsidR="00B3261E" w:rsidRPr="003869AE" w:rsidRDefault="00B3261E" w:rsidP="009E579D">
      <w:pPr>
        <w:jc w:val="both"/>
        <w:rPr>
          <w:b/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>BİLEŞİMİ</w:t>
      </w:r>
    </w:p>
    <w:p w:rsidR="00B3261E" w:rsidRPr="003869AE" w:rsidRDefault="005F0B5E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LEVATRİZOL Oral Tablet, beyaz, krem beyaz </w:t>
      </w:r>
      <w:r w:rsidR="00B3261E" w:rsidRPr="003869AE">
        <w:rPr>
          <w:color w:val="000000" w:themeColor="text1"/>
        </w:rPr>
        <w:t xml:space="preserve">renkli, </w:t>
      </w:r>
      <w:r w:rsidRPr="003869AE">
        <w:rPr>
          <w:color w:val="000000" w:themeColor="text1"/>
        </w:rPr>
        <w:t xml:space="preserve">bir yüzeyi çentikli diğer yüzeyi düz, homojen görünüşlü </w:t>
      </w:r>
      <w:proofErr w:type="spellStart"/>
      <w:r w:rsidRPr="003869AE">
        <w:rPr>
          <w:color w:val="000000" w:themeColor="text1"/>
        </w:rPr>
        <w:t>oblong</w:t>
      </w:r>
      <w:proofErr w:type="spellEnd"/>
      <w:r w:rsidRPr="003869AE">
        <w:rPr>
          <w:color w:val="000000" w:themeColor="text1"/>
        </w:rPr>
        <w:t xml:space="preserve"> </w:t>
      </w:r>
      <w:r w:rsidR="00B3261E" w:rsidRPr="003869AE">
        <w:rPr>
          <w:color w:val="000000" w:themeColor="text1"/>
        </w:rPr>
        <w:t xml:space="preserve">tablet olup, beher tablette 375 mg </w:t>
      </w:r>
      <w:proofErr w:type="spellStart"/>
      <w:r w:rsidR="00B3261E" w:rsidRPr="003869AE">
        <w:rPr>
          <w:color w:val="000000" w:themeColor="text1"/>
        </w:rPr>
        <w:t>Levamiz</w:t>
      </w:r>
      <w:r w:rsidR="004A6EA8" w:rsidRPr="003869AE">
        <w:rPr>
          <w:color w:val="000000" w:themeColor="text1"/>
        </w:rPr>
        <w:t>ol</w:t>
      </w:r>
      <w:proofErr w:type="spellEnd"/>
      <w:r w:rsidR="004A6EA8" w:rsidRPr="003869AE">
        <w:rPr>
          <w:color w:val="000000" w:themeColor="text1"/>
        </w:rPr>
        <w:t xml:space="preserve"> </w:t>
      </w:r>
      <w:proofErr w:type="spellStart"/>
      <w:r w:rsidR="004A6EA8" w:rsidRPr="003869AE">
        <w:rPr>
          <w:color w:val="000000" w:themeColor="text1"/>
        </w:rPr>
        <w:t>HCl</w:t>
      </w:r>
      <w:proofErr w:type="spellEnd"/>
      <w:r w:rsidR="004A6EA8" w:rsidRPr="003869AE">
        <w:rPr>
          <w:color w:val="000000" w:themeColor="text1"/>
        </w:rPr>
        <w:t xml:space="preserve"> ve 600 mg </w:t>
      </w:r>
      <w:proofErr w:type="spellStart"/>
      <w:r w:rsidR="004A6EA8" w:rsidRPr="003869AE">
        <w:rPr>
          <w:color w:val="000000" w:themeColor="text1"/>
        </w:rPr>
        <w:t>Triklabendazol</w:t>
      </w:r>
      <w:proofErr w:type="spellEnd"/>
      <w:r w:rsidR="00B3261E" w:rsidRPr="003869AE">
        <w:rPr>
          <w:color w:val="000000" w:themeColor="text1"/>
        </w:rPr>
        <w:t xml:space="preserve"> içerir. </w:t>
      </w:r>
    </w:p>
    <w:p w:rsidR="003732F8" w:rsidRPr="003869AE" w:rsidRDefault="003732F8" w:rsidP="009E579D">
      <w:pPr>
        <w:jc w:val="both"/>
        <w:rPr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bCs/>
          <w:color w:val="000000" w:themeColor="text1"/>
        </w:rPr>
      </w:pPr>
      <w:r w:rsidRPr="003869AE">
        <w:rPr>
          <w:b/>
          <w:bCs/>
          <w:color w:val="000000" w:themeColor="text1"/>
        </w:rPr>
        <w:t>FARMAKOLOJİK ÖZELLİKLERİ</w:t>
      </w:r>
    </w:p>
    <w:p w:rsidR="00D9431D" w:rsidRPr="003869AE" w:rsidRDefault="00D9431D" w:rsidP="00D9431D">
      <w:pPr>
        <w:jc w:val="both"/>
        <w:rPr>
          <w:b/>
          <w:bCs/>
          <w:color w:val="000000" w:themeColor="text1"/>
        </w:rPr>
      </w:pPr>
      <w:r w:rsidRPr="003869AE">
        <w:rPr>
          <w:b/>
          <w:bCs/>
          <w:color w:val="000000" w:themeColor="text1"/>
        </w:rPr>
        <w:t xml:space="preserve">Farmakodinamik özellikler: </w:t>
      </w:r>
    </w:p>
    <w:p w:rsidR="007B0FA2" w:rsidRPr="003869AE" w:rsidRDefault="007B0FA2" w:rsidP="007B0FA2">
      <w:pPr>
        <w:jc w:val="both"/>
      </w:pPr>
      <w:bookmarkStart w:id="0" w:name="_GoBack"/>
      <w:r w:rsidRPr="003869AE">
        <w:rPr>
          <w:color w:val="000000" w:themeColor="text1"/>
        </w:rPr>
        <w:t>LEVATRİZOL</w:t>
      </w:r>
      <w:bookmarkEnd w:id="0"/>
      <w:r w:rsidRPr="003869AE">
        <w:rPr>
          <w:color w:val="000000" w:themeColor="text1"/>
        </w:rPr>
        <w:t xml:space="preserve"> Oral Tablet’in etkin maddelerinden biri olan </w:t>
      </w:r>
      <w:proofErr w:type="spellStart"/>
      <w:r w:rsidRPr="003869AE">
        <w:rPr>
          <w:color w:val="000000" w:themeColor="text1"/>
        </w:rPr>
        <w:t>levamizol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tetrahidroimidazol</w:t>
      </w:r>
      <w:proofErr w:type="spellEnd"/>
      <w:r w:rsidRPr="003869AE">
        <w:rPr>
          <w:color w:val="000000" w:themeColor="text1"/>
        </w:rPr>
        <w:t xml:space="preserve"> grubuna ait </w:t>
      </w:r>
      <w:proofErr w:type="spellStart"/>
      <w:r w:rsidRPr="003869AE">
        <w:rPr>
          <w:color w:val="000000" w:themeColor="text1"/>
        </w:rPr>
        <w:t>kolinerjik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agonist</w:t>
      </w:r>
      <w:proofErr w:type="spellEnd"/>
      <w:r w:rsidRPr="003869AE">
        <w:rPr>
          <w:color w:val="000000" w:themeColor="text1"/>
        </w:rPr>
        <w:t xml:space="preserve"> bir bileşiktir. </w:t>
      </w:r>
      <w:proofErr w:type="spellStart"/>
      <w:r w:rsidRPr="003869AE">
        <w:rPr>
          <w:color w:val="000000" w:themeColor="text1"/>
        </w:rPr>
        <w:t>Antinematodal</w:t>
      </w:r>
      <w:proofErr w:type="spellEnd"/>
      <w:r w:rsidRPr="003869AE">
        <w:rPr>
          <w:color w:val="000000" w:themeColor="text1"/>
        </w:rPr>
        <w:t xml:space="preserve"> etkinliği, parazit otonom </w:t>
      </w:r>
      <w:proofErr w:type="spellStart"/>
      <w:r w:rsidRPr="003869AE">
        <w:rPr>
          <w:color w:val="000000" w:themeColor="text1"/>
        </w:rPr>
        <w:t>ganglionlarının</w:t>
      </w:r>
      <w:proofErr w:type="spellEnd"/>
      <w:r w:rsidRPr="003869AE">
        <w:rPr>
          <w:color w:val="000000" w:themeColor="text1"/>
        </w:rPr>
        <w:t xml:space="preserve"> sürekli uyarılması sonucunda parazit kaslarının felcine bağlı olarak gerçekleşir.  Aynı zamanda </w:t>
      </w:r>
      <w:proofErr w:type="spellStart"/>
      <w:r w:rsidRPr="003869AE">
        <w:rPr>
          <w:color w:val="000000" w:themeColor="text1"/>
        </w:rPr>
        <w:t>benzimidazol</w:t>
      </w:r>
      <w:proofErr w:type="spellEnd"/>
      <w:r w:rsidRPr="003869AE">
        <w:rPr>
          <w:color w:val="000000" w:themeColor="text1"/>
        </w:rPr>
        <w:t xml:space="preserve"> grubu bileşiklere benzer şekilde </w:t>
      </w:r>
      <w:proofErr w:type="spellStart"/>
      <w:r w:rsidRPr="003869AE">
        <w:rPr>
          <w:color w:val="000000" w:themeColor="text1"/>
        </w:rPr>
        <w:t>fumarat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redüktaz</w:t>
      </w:r>
      <w:proofErr w:type="spellEnd"/>
      <w:r w:rsidRPr="003869AE">
        <w:rPr>
          <w:color w:val="000000" w:themeColor="text1"/>
        </w:rPr>
        <w:t xml:space="preserve"> enziminin </w:t>
      </w:r>
      <w:r w:rsidRPr="003869AE">
        <w:t xml:space="preserve">etkinliğini </w:t>
      </w:r>
      <w:proofErr w:type="spellStart"/>
      <w:r w:rsidRPr="003869AE">
        <w:t>inhibe</w:t>
      </w:r>
      <w:proofErr w:type="spellEnd"/>
      <w:r w:rsidRPr="003869AE">
        <w:t xml:space="preserve"> eder ve parazitin karbonhidrat metabolizmasını bozar. </w:t>
      </w:r>
      <w:proofErr w:type="spellStart"/>
      <w:r w:rsidRPr="003869AE">
        <w:t>Levamizole</w:t>
      </w:r>
      <w:proofErr w:type="spellEnd"/>
      <w:r w:rsidRPr="003869AE">
        <w:t xml:space="preserve"> direnç gelişimi, </w:t>
      </w:r>
      <w:proofErr w:type="spellStart"/>
      <w:r w:rsidRPr="003869AE">
        <w:t>asetilkolin</w:t>
      </w:r>
      <w:proofErr w:type="spellEnd"/>
      <w:r w:rsidRPr="003869AE">
        <w:t xml:space="preserve"> reseptör </w:t>
      </w:r>
      <w:proofErr w:type="gramStart"/>
      <w:r w:rsidRPr="003869AE">
        <w:t>popülasyonunun</w:t>
      </w:r>
      <w:proofErr w:type="gramEnd"/>
      <w:r w:rsidRPr="003869AE">
        <w:t xml:space="preserve"> genel özelliklerinde değişim ile gerçekleşir. </w:t>
      </w:r>
    </w:p>
    <w:p w:rsidR="007B0FA2" w:rsidRPr="003869AE" w:rsidRDefault="007B0FA2" w:rsidP="00D9431D">
      <w:pPr>
        <w:jc w:val="both"/>
        <w:rPr>
          <w:color w:val="000000" w:themeColor="text1"/>
        </w:rPr>
      </w:pPr>
      <w:proofErr w:type="spellStart"/>
      <w:r w:rsidRPr="003869AE">
        <w:t>Triklabendazol</w:t>
      </w:r>
      <w:proofErr w:type="spellEnd"/>
      <w:r w:rsidRPr="003869AE">
        <w:t xml:space="preserve"> ise, halojenli </w:t>
      </w:r>
      <w:proofErr w:type="spellStart"/>
      <w:r w:rsidRPr="003869AE">
        <w:t>benzimidazol</w:t>
      </w:r>
      <w:proofErr w:type="spellEnd"/>
      <w:r w:rsidRPr="003869AE">
        <w:t xml:space="preserve"> grubu bir </w:t>
      </w:r>
      <w:proofErr w:type="spellStart"/>
      <w:r w:rsidRPr="003869AE">
        <w:t>fasciolasittir</w:t>
      </w:r>
      <w:proofErr w:type="spellEnd"/>
      <w:r w:rsidRPr="003869AE">
        <w:t xml:space="preserve">. Karaciğer </w:t>
      </w:r>
      <w:proofErr w:type="spellStart"/>
      <w:r w:rsidRPr="003869AE">
        <w:t>trematodlarının</w:t>
      </w:r>
      <w:proofErr w:type="spellEnd"/>
      <w:r w:rsidRPr="003869AE">
        <w:t xml:space="preserve"> tüm yaşam dönemlerine etkilidir. </w:t>
      </w:r>
      <w:proofErr w:type="spellStart"/>
      <w:r w:rsidRPr="003869AE">
        <w:t>Triklabendazol</w:t>
      </w:r>
      <w:proofErr w:type="spellEnd"/>
      <w:r w:rsidRPr="003869AE">
        <w:t xml:space="preserve"> </w:t>
      </w:r>
      <w:proofErr w:type="spellStart"/>
      <w:r w:rsidRPr="003869AE">
        <w:rPr>
          <w:color w:val="000000" w:themeColor="text1"/>
        </w:rPr>
        <w:t>trematodların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tubulin</w:t>
      </w:r>
      <w:proofErr w:type="spellEnd"/>
      <w:r w:rsidRPr="003869AE">
        <w:rPr>
          <w:color w:val="000000" w:themeColor="text1"/>
        </w:rPr>
        <w:t xml:space="preserve"> yapısına bağlanarak hücre içi taşıma mekanizmasını bozar ve enerji metabolizmasının çok yönlü </w:t>
      </w:r>
      <w:proofErr w:type="spellStart"/>
      <w:r w:rsidRPr="003869AE">
        <w:rPr>
          <w:color w:val="000000" w:themeColor="text1"/>
        </w:rPr>
        <w:t>inhibisyonuna</w:t>
      </w:r>
      <w:proofErr w:type="spellEnd"/>
      <w:r w:rsidRPr="003869AE">
        <w:rPr>
          <w:color w:val="000000" w:themeColor="text1"/>
        </w:rPr>
        <w:t xml:space="preserve"> neden olur. Ayrıca protein sentezini de </w:t>
      </w:r>
      <w:proofErr w:type="spellStart"/>
      <w:r w:rsidRPr="003869AE">
        <w:rPr>
          <w:color w:val="000000" w:themeColor="text1"/>
        </w:rPr>
        <w:t>inhibe</w:t>
      </w:r>
      <w:proofErr w:type="spellEnd"/>
      <w:r w:rsidRPr="003869AE">
        <w:rPr>
          <w:color w:val="000000" w:themeColor="text1"/>
        </w:rPr>
        <w:t xml:space="preserve"> eder. </w:t>
      </w:r>
      <w:proofErr w:type="spellStart"/>
      <w:r w:rsidRPr="003869AE">
        <w:rPr>
          <w:color w:val="000000" w:themeColor="text1"/>
        </w:rPr>
        <w:t>Triklabendazole</w:t>
      </w:r>
      <w:proofErr w:type="spellEnd"/>
      <w:r w:rsidRPr="003869AE">
        <w:rPr>
          <w:color w:val="000000" w:themeColor="text1"/>
        </w:rPr>
        <w:t xml:space="preserve"> karşı direnç gelişiminde; I. Duyarlı </w:t>
      </w:r>
      <w:proofErr w:type="spellStart"/>
      <w:r w:rsidRPr="003869AE">
        <w:rPr>
          <w:color w:val="000000" w:themeColor="text1"/>
        </w:rPr>
        <w:t>betatubulin</w:t>
      </w:r>
      <w:proofErr w:type="spellEnd"/>
      <w:r w:rsidRPr="003869AE">
        <w:rPr>
          <w:color w:val="000000" w:themeColor="text1"/>
        </w:rPr>
        <w:t xml:space="preserve"> gen </w:t>
      </w:r>
      <w:proofErr w:type="spellStart"/>
      <w:r w:rsidRPr="003869AE">
        <w:rPr>
          <w:color w:val="000000" w:themeColor="text1"/>
        </w:rPr>
        <w:t>izotipinin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progressif</w:t>
      </w:r>
      <w:proofErr w:type="spellEnd"/>
      <w:r w:rsidRPr="003869AE">
        <w:rPr>
          <w:color w:val="000000" w:themeColor="text1"/>
        </w:rPr>
        <w:t xml:space="preserve"> kaybı, </w:t>
      </w:r>
      <w:proofErr w:type="spellStart"/>
      <w:r w:rsidRPr="003869AE">
        <w:rPr>
          <w:color w:val="000000" w:themeColor="text1"/>
        </w:rPr>
        <w:t>fenilalanin</w:t>
      </w:r>
      <w:proofErr w:type="spellEnd"/>
      <w:r w:rsidRPr="003869AE">
        <w:rPr>
          <w:color w:val="000000" w:themeColor="text1"/>
        </w:rPr>
        <w:t xml:space="preserve"> yerine </w:t>
      </w:r>
      <w:proofErr w:type="spellStart"/>
      <w:r w:rsidRPr="003869AE">
        <w:rPr>
          <w:color w:val="000000" w:themeColor="text1"/>
        </w:rPr>
        <w:t>tirozin</w:t>
      </w:r>
      <w:proofErr w:type="spellEnd"/>
      <w:r w:rsidRPr="003869AE">
        <w:rPr>
          <w:color w:val="000000" w:themeColor="text1"/>
        </w:rPr>
        <w:t xml:space="preserve"> kodlanmasından kaynaklanan bir nokta mutasyon ile dirençli bir beta-</w:t>
      </w:r>
      <w:proofErr w:type="spellStart"/>
      <w:r w:rsidRPr="003869AE">
        <w:rPr>
          <w:color w:val="000000" w:themeColor="text1"/>
        </w:rPr>
        <w:t>tubulin</w:t>
      </w:r>
      <w:proofErr w:type="spellEnd"/>
      <w:r w:rsidRPr="003869AE">
        <w:rPr>
          <w:color w:val="000000" w:themeColor="text1"/>
        </w:rPr>
        <w:t xml:space="preserve"> gen </w:t>
      </w:r>
      <w:proofErr w:type="spellStart"/>
      <w:r w:rsidRPr="003869AE">
        <w:rPr>
          <w:color w:val="000000" w:themeColor="text1"/>
        </w:rPr>
        <w:t>izotipinin</w:t>
      </w:r>
      <w:proofErr w:type="spellEnd"/>
      <w:r w:rsidRPr="003869AE">
        <w:rPr>
          <w:color w:val="000000" w:themeColor="text1"/>
        </w:rPr>
        <w:t xml:space="preserve"> ortaya çıkması, II. İlaç alımı ve metabolizmasının değişimi, III. İlaç taşıyıcısı olduğu bilinen P-</w:t>
      </w:r>
      <w:proofErr w:type="spellStart"/>
      <w:r w:rsidRPr="003869AE">
        <w:rPr>
          <w:color w:val="000000" w:themeColor="text1"/>
        </w:rPr>
        <w:t>glikoprotein</w:t>
      </w:r>
      <w:proofErr w:type="spellEnd"/>
      <w:r w:rsidRPr="003869AE">
        <w:rPr>
          <w:color w:val="000000" w:themeColor="text1"/>
        </w:rPr>
        <w:t xml:space="preserve"> ile bağlantılı akış pompaları rol oynamaktadır.</w:t>
      </w:r>
    </w:p>
    <w:p w:rsidR="00704A27" w:rsidRPr="003869AE" w:rsidRDefault="00704A27" w:rsidP="00704A27">
      <w:pPr>
        <w:jc w:val="both"/>
        <w:rPr>
          <w:b/>
          <w:bCs/>
          <w:color w:val="000000" w:themeColor="text1"/>
        </w:rPr>
      </w:pPr>
      <w:proofErr w:type="spellStart"/>
      <w:r w:rsidRPr="003869AE">
        <w:rPr>
          <w:b/>
          <w:bCs/>
          <w:color w:val="000000" w:themeColor="text1"/>
        </w:rPr>
        <w:t>Farmakokinetik</w:t>
      </w:r>
      <w:proofErr w:type="spellEnd"/>
      <w:r w:rsidRPr="003869AE">
        <w:rPr>
          <w:b/>
          <w:bCs/>
          <w:color w:val="000000" w:themeColor="text1"/>
        </w:rPr>
        <w:t xml:space="preserve"> özellikler:</w:t>
      </w:r>
    </w:p>
    <w:p w:rsidR="00704A27" w:rsidRPr="003869AE" w:rsidRDefault="00704A27" w:rsidP="00704A27">
      <w:p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Levamizol</w:t>
      </w:r>
      <w:proofErr w:type="spellEnd"/>
      <w:r w:rsidRPr="003869AE">
        <w:rPr>
          <w:color w:val="000000" w:themeColor="text1"/>
        </w:rPr>
        <w:t xml:space="preserve"> oral yolla uygulandığında, </w:t>
      </w:r>
      <w:proofErr w:type="spellStart"/>
      <w:r w:rsidRPr="003869AE">
        <w:rPr>
          <w:color w:val="000000" w:themeColor="text1"/>
        </w:rPr>
        <w:t>rumenden</w:t>
      </w:r>
      <w:proofErr w:type="spellEnd"/>
      <w:r w:rsidRPr="003869AE">
        <w:rPr>
          <w:color w:val="000000" w:themeColor="text1"/>
        </w:rPr>
        <w:t xml:space="preserve"> hızla emilerek 2-4 saat içinde maksimum kan </w:t>
      </w:r>
      <w:proofErr w:type="gramStart"/>
      <w:r w:rsidRPr="003869AE">
        <w:rPr>
          <w:color w:val="000000" w:themeColor="text1"/>
        </w:rPr>
        <w:t>konsantrasyonuna</w:t>
      </w:r>
      <w:proofErr w:type="gramEnd"/>
      <w:r w:rsidRPr="003869AE">
        <w:rPr>
          <w:color w:val="000000" w:themeColor="text1"/>
        </w:rPr>
        <w:t xml:space="preserve"> ulaşır. Bileşiğin yarılanma ömrü </w:t>
      </w:r>
      <w:proofErr w:type="gramStart"/>
      <w:r w:rsidRPr="003869AE">
        <w:rPr>
          <w:color w:val="000000" w:themeColor="text1"/>
        </w:rPr>
        <w:t>9.3</w:t>
      </w:r>
      <w:proofErr w:type="gramEnd"/>
      <w:r w:rsidRPr="003869AE">
        <w:rPr>
          <w:color w:val="000000" w:themeColor="text1"/>
        </w:rPr>
        <w:t xml:space="preserve"> saattir ve uygulamadan sonraki 72 saat içinde yaklaşık %68-78’i idrar, %17-33’ü dışkı ile atılır.  </w:t>
      </w:r>
    </w:p>
    <w:p w:rsidR="00704A27" w:rsidRPr="003869AE" w:rsidRDefault="00704A27" w:rsidP="00704A27">
      <w:p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Triklabendazol</w:t>
      </w:r>
      <w:proofErr w:type="spellEnd"/>
      <w:r w:rsidRPr="003869AE">
        <w:rPr>
          <w:color w:val="000000" w:themeColor="text1"/>
        </w:rPr>
        <w:t xml:space="preserve"> oral yolla uygulandığında, sindirim sisteminden hızla emilir ve kısa süre içinde </w:t>
      </w:r>
      <w:proofErr w:type="spellStart"/>
      <w:r w:rsidRPr="003869AE">
        <w:rPr>
          <w:color w:val="000000" w:themeColor="text1"/>
        </w:rPr>
        <w:t>antiparaziter</w:t>
      </w:r>
      <w:proofErr w:type="spellEnd"/>
      <w:r w:rsidRPr="003869AE">
        <w:rPr>
          <w:color w:val="000000" w:themeColor="text1"/>
        </w:rPr>
        <w:t xml:space="preserve"> etkinliği başlar. </w:t>
      </w:r>
      <w:proofErr w:type="spellStart"/>
      <w:r w:rsidRPr="003869AE">
        <w:rPr>
          <w:color w:val="000000" w:themeColor="text1"/>
        </w:rPr>
        <w:t>Triklabendazol</w:t>
      </w:r>
      <w:proofErr w:type="spellEnd"/>
      <w:r w:rsidRPr="003869AE">
        <w:rPr>
          <w:color w:val="000000" w:themeColor="text1"/>
        </w:rPr>
        <w:t xml:space="preserve"> uygulamadan 18 saat sonra maksimum kan </w:t>
      </w:r>
      <w:proofErr w:type="gramStart"/>
      <w:r w:rsidRPr="003869AE">
        <w:rPr>
          <w:color w:val="000000" w:themeColor="text1"/>
        </w:rPr>
        <w:t>konsantrasyonuna</w:t>
      </w:r>
      <w:proofErr w:type="gramEnd"/>
      <w:r w:rsidRPr="003869AE">
        <w:rPr>
          <w:color w:val="000000" w:themeColor="text1"/>
        </w:rPr>
        <w:t xml:space="preserve"> ulaşır. Plazmada ana </w:t>
      </w:r>
      <w:proofErr w:type="spellStart"/>
      <w:r w:rsidRPr="003869AE">
        <w:rPr>
          <w:color w:val="000000" w:themeColor="text1"/>
        </w:rPr>
        <w:t>metabolit</w:t>
      </w:r>
      <w:proofErr w:type="spellEnd"/>
      <w:r w:rsidRPr="003869AE">
        <w:rPr>
          <w:color w:val="000000" w:themeColor="text1"/>
        </w:rPr>
        <w:t xml:space="preserve"> olarak </w:t>
      </w:r>
      <w:proofErr w:type="spellStart"/>
      <w:r w:rsidRPr="003869AE">
        <w:rPr>
          <w:color w:val="000000" w:themeColor="text1"/>
        </w:rPr>
        <w:t>sülfon</w:t>
      </w:r>
      <w:proofErr w:type="spellEnd"/>
      <w:r w:rsidRPr="003869AE">
        <w:rPr>
          <w:color w:val="000000" w:themeColor="text1"/>
        </w:rPr>
        <w:t xml:space="preserve">, </w:t>
      </w:r>
      <w:proofErr w:type="spellStart"/>
      <w:r w:rsidRPr="003869AE">
        <w:rPr>
          <w:color w:val="000000" w:themeColor="text1"/>
        </w:rPr>
        <w:t>sülfoksit</w:t>
      </w:r>
      <w:proofErr w:type="spellEnd"/>
      <w:r w:rsidRPr="003869AE">
        <w:rPr>
          <w:color w:val="000000" w:themeColor="text1"/>
        </w:rPr>
        <w:t>, keton ve 4-</w:t>
      </w:r>
      <w:proofErr w:type="spellStart"/>
      <w:r w:rsidRPr="003869AE">
        <w:rPr>
          <w:color w:val="000000" w:themeColor="text1"/>
        </w:rPr>
        <w:t>hidroksi</w:t>
      </w:r>
      <w:proofErr w:type="spellEnd"/>
      <w:r w:rsidRPr="003869AE">
        <w:rPr>
          <w:color w:val="000000" w:themeColor="text1"/>
        </w:rPr>
        <w:t xml:space="preserve"> türevleri bulunur. Sığırlarda 7 gün içerisinde %2,2’si idrar ve %76’sı dışkı ile olmak üzere toplam %</w:t>
      </w:r>
      <w:proofErr w:type="gramStart"/>
      <w:r w:rsidRPr="003869AE">
        <w:rPr>
          <w:color w:val="000000" w:themeColor="text1"/>
        </w:rPr>
        <w:t>81.4’ü</w:t>
      </w:r>
      <w:proofErr w:type="gramEnd"/>
      <w:r w:rsidRPr="003869AE">
        <w:rPr>
          <w:color w:val="000000" w:themeColor="text1"/>
        </w:rPr>
        <w:t xml:space="preserve"> atılır. Plazma proteinlerine bağlanma oranının</w:t>
      </w:r>
      <w:r w:rsidR="00AE078A" w:rsidRPr="003869AE">
        <w:rPr>
          <w:color w:val="000000" w:themeColor="text1"/>
        </w:rPr>
        <w:t xml:space="preserve"> % 99’</w:t>
      </w:r>
      <w:r w:rsidRPr="003869AE">
        <w:rPr>
          <w:color w:val="000000" w:themeColor="text1"/>
        </w:rPr>
        <w:t>dan daha yüksek</w:t>
      </w:r>
      <w:r w:rsidR="00AE078A" w:rsidRPr="003869AE">
        <w:rPr>
          <w:color w:val="000000" w:themeColor="text1"/>
        </w:rPr>
        <w:t xml:space="preserve"> olduğu</w:t>
      </w:r>
      <w:r w:rsidRPr="003869AE">
        <w:rPr>
          <w:color w:val="000000" w:themeColor="text1"/>
        </w:rPr>
        <w:t xml:space="preserve"> bulunmuştur.</w:t>
      </w:r>
    </w:p>
    <w:p w:rsidR="00D9431D" w:rsidRPr="003869AE" w:rsidRDefault="00D9431D" w:rsidP="00D9431D">
      <w:pPr>
        <w:jc w:val="both"/>
        <w:rPr>
          <w:b/>
          <w:bCs/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bCs/>
          <w:color w:val="000000" w:themeColor="text1"/>
        </w:rPr>
      </w:pPr>
      <w:r w:rsidRPr="003869AE">
        <w:rPr>
          <w:b/>
          <w:bCs/>
          <w:color w:val="000000" w:themeColor="text1"/>
        </w:rPr>
        <w:t>KULLANIM SAHASI/ENDİKASYONLAR</w:t>
      </w:r>
    </w:p>
    <w:p w:rsidR="003140B5" w:rsidRPr="003869AE" w:rsidRDefault="0056629F" w:rsidP="0056629F">
      <w:pPr>
        <w:jc w:val="both"/>
        <w:rPr>
          <w:color w:val="FF0000"/>
        </w:rPr>
      </w:pPr>
      <w:r w:rsidRPr="003869AE">
        <w:rPr>
          <w:color w:val="000000" w:themeColor="text1"/>
        </w:rPr>
        <w:t>LEVATRİZOL Oral Tablet</w:t>
      </w:r>
      <w:r w:rsidRPr="003869AE">
        <w:t xml:space="preserve">, </w:t>
      </w:r>
      <w:proofErr w:type="spellStart"/>
      <w:r w:rsidR="003140B5" w:rsidRPr="003869AE">
        <w:t>laktasyon</w:t>
      </w:r>
      <w:proofErr w:type="spellEnd"/>
      <w:r w:rsidR="003140B5" w:rsidRPr="003869AE">
        <w:t xml:space="preserve"> döneminde olmayan sığırlarda </w:t>
      </w:r>
      <w:proofErr w:type="spellStart"/>
      <w:r w:rsidR="003140B5" w:rsidRPr="003869AE">
        <w:t>levamizol</w:t>
      </w:r>
      <w:proofErr w:type="spellEnd"/>
      <w:r w:rsidR="003140B5" w:rsidRPr="003869AE">
        <w:t xml:space="preserve"> ve </w:t>
      </w:r>
      <w:proofErr w:type="spellStart"/>
      <w:r w:rsidR="003140B5" w:rsidRPr="003869AE">
        <w:t>triklabendazole</w:t>
      </w:r>
      <w:proofErr w:type="spellEnd"/>
      <w:r w:rsidR="003140B5" w:rsidRPr="003869AE">
        <w:t xml:space="preserve"> duyarlı </w:t>
      </w:r>
      <w:proofErr w:type="spellStart"/>
      <w:r w:rsidR="003140B5" w:rsidRPr="003869AE">
        <w:t>helmintlerin</w:t>
      </w:r>
      <w:proofErr w:type="spellEnd"/>
      <w:r w:rsidR="003140B5" w:rsidRPr="003869AE">
        <w:t xml:space="preserve"> neden olduğu </w:t>
      </w:r>
      <w:proofErr w:type="spellStart"/>
      <w:r w:rsidR="003140B5" w:rsidRPr="003869AE">
        <w:t>paraziter</w:t>
      </w:r>
      <w:proofErr w:type="spellEnd"/>
      <w:r w:rsidR="003140B5" w:rsidRPr="003869AE">
        <w:t xml:space="preserve"> </w:t>
      </w:r>
      <w:proofErr w:type="spellStart"/>
      <w:r w:rsidR="003140B5" w:rsidRPr="003869AE">
        <w:t>invazyonların</w:t>
      </w:r>
      <w:proofErr w:type="spellEnd"/>
      <w:r w:rsidR="003140B5" w:rsidRPr="003869AE">
        <w:t xml:space="preserve"> korunma ve tedavisinde kullanılır.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Abomasum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nematodları</w:t>
      </w:r>
      <w:proofErr w:type="spellEnd"/>
      <w:r w:rsidRPr="003869AE">
        <w:rPr>
          <w:color w:val="000000" w:themeColor="text1"/>
        </w:rPr>
        <w:t xml:space="preserve">: </w:t>
      </w:r>
      <w:proofErr w:type="spellStart"/>
      <w:r w:rsidRPr="003869AE">
        <w:rPr>
          <w:i/>
          <w:color w:val="000000" w:themeColor="text1"/>
        </w:rPr>
        <w:t>Haemonchus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proofErr w:type="spellEnd"/>
      <w:proofErr w:type="gramStart"/>
      <w:r w:rsidRPr="003869AE">
        <w:rPr>
          <w:i/>
          <w:color w:val="000000" w:themeColor="text1"/>
        </w:rPr>
        <w:t>.,</w:t>
      </w:r>
      <w:proofErr w:type="gram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Ostertagia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proofErr w:type="spellEnd"/>
      <w:r w:rsidRPr="003869AE">
        <w:rPr>
          <w:color w:val="000000" w:themeColor="text1"/>
        </w:rPr>
        <w:t>.’</w:t>
      </w:r>
      <w:proofErr w:type="spellStart"/>
      <w:r w:rsidRPr="003869AE">
        <w:rPr>
          <w:color w:val="000000" w:themeColor="text1"/>
        </w:rPr>
        <w:t>nin</w:t>
      </w:r>
      <w:proofErr w:type="spellEnd"/>
      <w:r w:rsidRPr="003869AE">
        <w:rPr>
          <w:color w:val="000000" w:themeColor="text1"/>
        </w:rPr>
        <w:t xml:space="preserve"> ergin, L4 ve </w:t>
      </w:r>
      <w:proofErr w:type="spellStart"/>
      <w:r w:rsidRPr="003869AE">
        <w:rPr>
          <w:color w:val="000000" w:themeColor="text1"/>
        </w:rPr>
        <w:t>immatüre</w:t>
      </w:r>
      <w:proofErr w:type="spellEnd"/>
      <w:r w:rsidRPr="003869AE">
        <w:rPr>
          <w:color w:val="000000" w:themeColor="text1"/>
        </w:rPr>
        <w:t xml:space="preserve"> formları (</w:t>
      </w:r>
      <w:proofErr w:type="spellStart"/>
      <w:r w:rsidRPr="003869AE">
        <w:rPr>
          <w:i/>
          <w:color w:val="000000" w:themeColor="text1"/>
        </w:rPr>
        <w:t>Ostertagia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proofErr w:type="spellEnd"/>
      <w:r w:rsidRPr="003869AE">
        <w:rPr>
          <w:i/>
          <w:color w:val="000000" w:themeColor="text1"/>
        </w:rPr>
        <w:t>.</w:t>
      </w:r>
      <w:r w:rsidRPr="003869AE">
        <w:rPr>
          <w:color w:val="000000" w:themeColor="text1"/>
        </w:rPr>
        <w:t>’</w:t>
      </w:r>
      <w:proofErr w:type="spellStart"/>
      <w:r w:rsidRPr="003869AE">
        <w:rPr>
          <w:color w:val="000000" w:themeColor="text1"/>
        </w:rPr>
        <w:t>nin</w:t>
      </w:r>
      <w:proofErr w:type="spellEnd"/>
      <w:r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inhibe</w:t>
      </w:r>
      <w:proofErr w:type="spellEnd"/>
      <w:r w:rsidRPr="003869AE">
        <w:rPr>
          <w:color w:val="000000" w:themeColor="text1"/>
        </w:rPr>
        <w:t xml:space="preserve"> larvalarına etkili olmadığı bildirilmiştir)</w:t>
      </w:r>
      <w:r w:rsidR="00D9431D" w:rsidRPr="003869AE">
        <w:rPr>
          <w:color w:val="000000" w:themeColor="text1"/>
        </w:rPr>
        <w:t>,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İnce bağırsak </w:t>
      </w:r>
      <w:proofErr w:type="spellStart"/>
      <w:r w:rsidRPr="003869AE">
        <w:rPr>
          <w:color w:val="000000" w:themeColor="text1"/>
        </w:rPr>
        <w:t>nematodları</w:t>
      </w:r>
      <w:proofErr w:type="spellEnd"/>
      <w:r w:rsidRPr="003869AE">
        <w:rPr>
          <w:color w:val="000000" w:themeColor="text1"/>
        </w:rPr>
        <w:t xml:space="preserve">: </w:t>
      </w:r>
      <w:proofErr w:type="spellStart"/>
      <w:r w:rsidRPr="003869AE">
        <w:rPr>
          <w:i/>
          <w:color w:val="000000" w:themeColor="text1"/>
        </w:rPr>
        <w:t>Cooperia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proofErr w:type="spellEnd"/>
      <w:r w:rsidRPr="003869AE">
        <w:rPr>
          <w:i/>
          <w:color w:val="000000" w:themeColor="text1"/>
        </w:rPr>
        <w:t xml:space="preserve">, </w:t>
      </w:r>
      <w:proofErr w:type="spellStart"/>
      <w:r w:rsidRPr="003869AE">
        <w:rPr>
          <w:i/>
          <w:color w:val="000000" w:themeColor="text1"/>
        </w:rPr>
        <w:t>Trichostrongylus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proofErr w:type="spellEnd"/>
      <w:proofErr w:type="gramStart"/>
      <w:r w:rsidRPr="003869AE">
        <w:rPr>
          <w:i/>
          <w:color w:val="000000" w:themeColor="text1"/>
        </w:rPr>
        <w:t>.,</w:t>
      </w:r>
      <w:proofErr w:type="gram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iCs/>
          <w:color w:val="000000" w:themeColor="text1"/>
        </w:rPr>
        <w:t>Nematodirus</w:t>
      </w:r>
      <w:proofErr w:type="spellEnd"/>
      <w:r w:rsidRPr="003869AE">
        <w:rPr>
          <w:i/>
          <w:iCs/>
          <w:color w:val="000000" w:themeColor="text1"/>
        </w:rPr>
        <w:t xml:space="preserve"> </w:t>
      </w:r>
      <w:proofErr w:type="spellStart"/>
      <w:r w:rsidRPr="003869AE">
        <w:rPr>
          <w:i/>
          <w:iCs/>
          <w:color w:val="000000" w:themeColor="text1"/>
        </w:rPr>
        <w:t>spp</w:t>
      </w:r>
      <w:proofErr w:type="spellEnd"/>
      <w:r w:rsidRPr="003869AE">
        <w:rPr>
          <w:i/>
          <w:iCs/>
          <w:color w:val="000000" w:themeColor="text1"/>
        </w:rPr>
        <w:t>,</w:t>
      </w:r>
      <w:r w:rsidRPr="003869AE">
        <w:rPr>
          <w:rStyle w:val="Vurgu"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Bunostomum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spp’</w:t>
      </w:r>
      <w:r w:rsidRPr="003869AE">
        <w:rPr>
          <w:color w:val="000000" w:themeColor="text1"/>
        </w:rPr>
        <w:t>nin</w:t>
      </w:r>
      <w:proofErr w:type="spellEnd"/>
      <w:r w:rsidRPr="003869AE">
        <w:rPr>
          <w:color w:val="000000" w:themeColor="text1"/>
        </w:rPr>
        <w:t xml:space="preserve"> ergin ve </w:t>
      </w:r>
      <w:proofErr w:type="spellStart"/>
      <w:r w:rsidRPr="003869AE">
        <w:rPr>
          <w:color w:val="000000" w:themeColor="text1"/>
        </w:rPr>
        <w:t>larval</w:t>
      </w:r>
      <w:proofErr w:type="spellEnd"/>
      <w:r w:rsidRPr="003869AE">
        <w:rPr>
          <w:color w:val="000000" w:themeColor="text1"/>
        </w:rPr>
        <w:t xml:space="preserve"> formlar</w:t>
      </w:r>
      <w:r w:rsidR="001A244D" w:rsidRPr="003869AE">
        <w:rPr>
          <w:color w:val="000000" w:themeColor="text1"/>
        </w:rPr>
        <w:t>,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Kalın bağırsak </w:t>
      </w:r>
      <w:proofErr w:type="spellStart"/>
      <w:r w:rsidRPr="003869AE">
        <w:rPr>
          <w:color w:val="000000" w:themeColor="text1"/>
        </w:rPr>
        <w:t>nematodları</w:t>
      </w:r>
      <w:proofErr w:type="spellEnd"/>
      <w:r w:rsidRPr="003869AE">
        <w:rPr>
          <w:color w:val="000000" w:themeColor="text1"/>
        </w:rPr>
        <w:t xml:space="preserve">: </w:t>
      </w:r>
      <w:proofErr w:type="spellStart"/>
      <w:r w:rsidRPr="003869AE">
        <w:rPr>
          <w:i/>
          <w:color w:val="000000" w:themeColor="text1"/>
        </w:rPr>
        <w:t>Oesophagostomum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r w:rsidRPr="003869AE">
        <w:rPr>
          <w:color w:val="000000" w:themeColor="text1"/>
        </w:rPr>
        <w:t>’nin</w:t>
      </w:r>
      <w:proofErr w:type="spellEnd"/>
      <w:r w:rsidRPr="003869AE">
        <w:rPr>
          <w:color w:val="000000" w:themeColor="text1"/>
        </w:rPr>
        <w:t xml:space="preserve"> ergin ve larva formları</w:t>
      </w:r>
      <w:r w:rsidR="00D9431D" w:rsidRPr="003869AE">
        <w:rPr>
          <w:color w:val="000000" w:themeColor="text1"/>
        </w:rPr>
        <w:t>,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Akciğer </w:t>
      </w:r>
      <w:proofErr w:type="spellStart"/>
      <w:r w:rsidRPr="003869AE">
        <w:rPr>
          <w:color w:val="000000" w:themeColor="text1"/>
        </w:rPr>
        <w:t>kılkurtları</w:t>
      </w:r>
      <w:proofErr w:type="spellEnd"/>
      <w:r w:rsidRPr="003869AE">
        <w:rPr>
          <w:color w:val="000000" w:themeColor="text1"/>
        </w:rPr>
        <w:t xml:space="preserve">: </w:t>
      </w:r>
      <w:proofErr w:type="spellStart"/>
      <w:r w:rsidRPr="003869AE">
        <w:rPr>
          <w:i/>
          <w:color w:val="000000" w:themeColor="text1"/>
        </w:rPr>
        <w:t>Dictyocaulus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spp</w:t>
      </w:r>
      <w:r w:rsidRPr="003869AE">
        <w:rPr>
          <w:color w:val="000000" w:themeColor="text1"/>
        </w:rPr>
        <w:t>’nin</w:t>
      </w:r>
      <w:proofErr w:type="spellEnd"/>
      <w:r w:rsidRPr="003869AE">
        <w:rPr>
          <w:color w:val="000000" w:themeColor="text1"/>
        </w:rPr>
        <w:t xml:space="preserve"> ergin ve larva formları</w:t>
      </w:r>
      <w:r w:rsidR="00D9431D" w:rsidRPr="003869AE">
        <w:rPr>
          <w:color w:val="000000" w:themeColor="text1"/>
        </w:rPr>
        <w:t>,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lastRenderedPageBreak/>
        <w:t xml:space="preserve">Karaciğer </w:t>
      </w:r>
      <w:proofErr w:type="spellStart"/>
      <w:r w:rsidRPr="003869AE">
        <w:rPr>
          <w:color w:val="000000" w:themeColor="text1"/>
        </w:rPr>
        <w:t>trematodları</w:t>
      </w:r>
      <w:proofErr w:type="spellEnd"/>
      <w:r w:rsidRPr="003869AE">
        <w:rPr>
          <w:color w:val="000000" w:themeColor="text1"/>
        </w:rPr>
        <w:t xml:space="preserve">: </w:t>
      </w:r>
      <w:proofErr w:type="spellStart"/>
      <w:r w:rsidRPr="003869AE">
        <w:rPr>
          <w:i/>
          <w:color w:val="000000" w:themeColor="text1"/>
        </w:rPr>
        <w:t>Fasciola</w:t>
      </w:r>
      <w:proofErr w:type="spellEnd"/>
      <w:r w:rsidRPr="003869AE">
        <w:rPr>
          <w:i/>
          <w:color w:val="000000" w:themeColor="text1"/>
        </w:rPr>
        <w:t xml:space="preserve"> </w:t>
      </w:r>
      <w:proofErr w:type="spellStart"/>
      <w:r w:rsidRPr="003869AE">
        <w:rPr>
          <w:i/>
          <w:color w:val="000000" w:themeColor="text1"/>
        </w:rPr>
        <w:t>hepatica</w:t>
      </w:r>
      <w:proofErr w:type="spellEnd"/>
      <w:r w:rsidR="001A244D" w:rsidRPr="003869AE">
        <w:rPr>
          <w:i/>
          <w:color w:val="000000" w:themeColor="text1"/>
        </w:rPr>
        <w:t xml:space="preserve"> </w:t>
      </w:r>
      <w:r w:rsidRPr="003869AE">
        <w:rPr>
          <w:color w:val="000000" w:themeColor="text1"/>
        </w:rPr>
        <w:t xml:space="preserve">ergin </w:t>
      </w:r>
      <w:r w:rsidRPr="003869AE">
        <w:rPr>
          <w:iCs/>
          <w:color w:val="000000" w:themeColor="text1"/>
        </w:rPr>
        <w:t xml:space="preserve">formlarının yanı sıra </w:t>
      </w:r>
      <w:r w:rsidRPr="003869AE">
        <w:rPr>
          <w:color w:val="000000" w:themeColor="text1"/>
        </w:rPr>
        <w:t xml:space="preserve">doku </w:t>
      </w:r>
      <w:proofErr w:type="spellStart"/>
      <w:r w:rsidRPr="003869AE">
        <w:rPr>
          <w:color w:val="000000" w:themeColor="text1"/>
        </w:rPr>
        <w:t>invazyonu</w:t>
      </w:r>
      <w:proofErr w:type="spellEnd"/>
      <w:r w:rsidRPr="003869AE">
        <w:rPr>
          <w:color w:val="000000" w:themeColor="text1"/>
        </w:rPr>
        <w:t xml:space="preserve"> gösteren ve </w:t>
      </w:r>
      <w:proofErr w:type="spellStart"/>
      <w:r w:rsidRPr="003869AE">
        <w:rPr>
          <w:color w:val="000000" w:themeColor="text1"/>
        </w:rPr>
        <w:t>infeksiyonun</w:t>
      </w:r>
      <w:proofErr w:type="spellEnd"/>
      <w:r w:rsidRPr="003869AE">
        <w:rPr>
          <w:color w:val="000000" w:themeColor="text1"/>
        </w:rPr>
        <w:t xml:space="preserve"> en hasarlı aşamasından sorumlu olan olgunlaşmamış </w:t>
      </w:r>
      <w:proofErr w:type="spellStart"/>
      <w:r w:rsidRPr="003869AE">
        <w:rPr>
          <w:color w:val="000000" w:themeColor="text1"/>
        </w:rPr>
        <w:t>trematodlar</w:t>
      </w:r>
      <w:proofErr w:type="spellEnd"/>
      <w:r w:rsidRPr="003869AE">
        <w:rPr>
          <w:color w:val="000000" w:themeColor="text1"/>
        </w:rPr>
        <w:t xml:space="preserve"> üzerine etkilidir.</w:t>
      </w:r>
    </w:p>
    <w:p w:rsidR="0064412F" w:rsidRPr="003869AE" w:rsidRDefault="0064412F" w:rsidP="0056629F">
      <w:pPr>
        <w:jc w:val="both"/>
        <w:rPr>
          <w:color w:val="000000" w:themeColor="text1"/>
        </w:rPr>
      </w:pPr>
    </w:p>
    <w:p w:rsidR="0056629F" w:rsidRPr="003869AE" w:rsidRDefault="0056629F" w:rsidP="0056629F">
      <w:pPr>
        <w:jc w:val="both"/>
        <w:rPr>
          <w:b/>
          <w:bCs/>
          <w:color w:val="000000" w:themeColor="text1"/>
        </w:rPr>
      </w:pPr>
      <w:r w:rsidRPr="003869AE">
        <w:rPr>
          <w:b/>
          <w:bCs/>
          <w:color w:val="000000" w:themeColor="text1"/>
        </w:rPr>
        <w:t>KULLANIM ŞEKLİ VE DOZU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Veteriner hekim tarafından başka şekilde tavsiye edilmediği takdirde, </w:t>
      </w:r>
    </w:p>
    <w:p w:rsidR="0056629F" w:rsidRPr="003869AE" w:rsidRDefault="0056629F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>Sığır</w:t>
      </w:r>
      <w:r w:rsidR="002C7B13" w:rsidRPr="003869AE">
        <w:rPr>
          <w:color w:val="000000" w:themeColor="text1"/>
        </w:rPr>
        <w:t>larda</w:t>
      </w:r>
      <w:r w:rsidR="004736C5" w:rsidRPr="003869AE">
        <w:rPr>
          <w:color w:val="000000" w:themeColor="text1"/>
        </w:rPr>
        <w:t xml:space="preserve"> </w:t>
      </w:r>
      <w:proofErr w:type="spellStart"/>
      <w:r w:rsidRPr="003869AE">
        <w:rPr>
          <w:color w:val="000000" w:themeColor="text1"/>
        </w:rPr>
        <w:t>triklabendazolün</w:t>
      </w:r>
      <w:proofErr w:type="spellEnd"/>
      <w:r w:rsidRPr="003869AE">
        <w:rPr>
          <w:color w:val="000000" w:themeColor="text1"/>
        </w:rPr>
        <w:t xml:space="preserve"> farmakolojik dozu</w:t>
      </w:r>
      <w:r w:rsidR="001A244D" w:rsidRPr="003869AE">
        <w:rPr>
          <w:color w:val="000000" w:themeColor="text1"/>
        </w:rPr>
        <w:t xml:space="preserve"> </w:t>
      </w:r>
      <w:r w:rsidRPr="003869AE">
        <w:rPr>
          <w:color w:val="000000" w:themeColor="text1"/>
        </w:rPr>
        <w:t xml:space="preserve">12 mg/kg canlı ağırlık, </w:t>
      </w:r>
      <w:proofErr w:type="spellStart"/>
      <w:r w:rsidRPr="003869AE">
        <w:rPr>
          <w:color w:val="000000" w:themeColor="text1"/>
        </w:rPr>
        <w:t>levamizolün</w:t>
      </w:r>
      <w:proofErr w:type="spellEnd"/>
      <w:r w:rsidRPr="003869AE">
        <w:rPr>
          <w:color w:val="000000" w:themeColor="text1"/>
        </w:rPr>
        <w:t xml:space="preserve"> ise 7,5 mg/kg canlı ağırlıktır. Ağızdan bir miktar su yardımı ile yutturularak uygulanır. Sığır</w:t>
      </w:r>
      <w:r w:rsidR="002C7B13" w:rsidRPr="003869AE">
        <w:rPr>
          <w:color w:val="000000" w:themeColor="text1"/>
        </w:rPr>
        <w:t>larda</w:t>
      </w:r>
      <w:r w:rsidR="004736C5" w:rsidRPr="003869AE">
        <w:rPr>
          <w:color w:val="000000" w:themeColor="text1"/>
        </w:rPr>
        <w:t xml:space="preserve"> </w:t>
      </w:r>
      <w:r w:rsidRPr="003869AE">
        <w:rPr>
          <w:color w:val="000000" w:themeColor="text1"/>
        </w:rPr>
        <w:t xml:space="preserve">her 50 kg canlı ağırlığa 1 tablet olacak şekilde kullanılır. </w:t>
      </w:r>
      <w:r w:rsidR="002C7B13" w:rsidRPr="003869AE">
        <w:rPr>
          <w:color w:val="000000" w:themeColor="text1"/>
        </w:rPr>
        <w:t>Pratik</w:t>
      </w:r>
      <w:r w:rsidR="00855AB1" w:rsidRPr="003869AE">
        <w:rPr>
          <w:color w:val="000000" w:themeColor="text1"/>
        </w:rPr>
        <w:t xml:space="preserve"> olarak aşağıdaki </w:t>
      </w:r>
      <w:r w:rsidR="002C7B13" w:rsidRPr="003869AE">
        <w:rPr>
          <w:color w:val="000000" w:themeColor="text1"/>
        </w:rPr>
        <w:t>doz</w:t>
      </w:r>
      <w:r w:rsidR="00855AB1" w:rsidRPr="003869AE">
        <w:rPr>
          <w:color w:val="000000" w:themeColor="text1"/>
        </w:rPr>
        <w:t>lar uygulanır</w:t>
      </w:r>
      <w:r w:rsidR="002C7B13" w:rsidRPr="003869AE">
        <w:rPr>
          <w:color w:val="000000" w:themeColor="text1"/>
        </w:rPr>
        <w:t xml:space="preserve">: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668"/>
        <w:gridCol w:w="1275"/>
      </w:tblGrid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Canlı Ağırlık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Tablet 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100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2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125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2,5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150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3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200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4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250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5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300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6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 xml:space="preserve">350 kg                   </w:t>
            </w:r>
          </w:p>
        </w:tc>
        <w:tc>
          <w:tcPr>
            <w:tcW w:w="1275" w:type="dxa"/>
          </w:tcPr>
          <w:p w:rsidR="00855AB1" w:rsidRPr="003869AE" w:rsidRDefault="00855AB1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7 adet</w:t>
            </w:r>
          </w:p>
        </w:tc>
      </w:tr>
      <w:tr w:rsidR="00855AB1" w:rsidRPr="003869AE" w:rsidTr="00855AB1">
        <w:tc>
          <w:tcPr>
            <w:tcW w:w="1668" w:type="dxa"/>
          </w:tcPr>
          <w:p w:rsidR="00855AB1" w:rsidRPr="003869AE" w:rsidRDefault="00855AB1" w:rsidP="004B0C20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4</w:t>
            </w:r>
            <w:r w:rsidR="004B0C20" w:rsidRPr="003869AE">
              <w:rPr>
                <w:color w:val="000000" w:themeColor="text1"/>
              </w:rPr>
              <w:t>0</w:t>
            </w:r>
            <w:r w:rsidRPr="003869AE">
              <w:rPr>
                <w:color w:val="000000" w:themeColor="text1"/>
              </w:rPr>
              <w:t>0 kg</w:t>
            </w:r>
          </w:p>
        </w:tc>
        <w:tc>
          <w:tcPr>
            <w:tcW w:w="1275" w:type="dxa"/>
          </w:tcPr>
          <w:p w:rsidR="00855AB1" w:rsidRPr="003869AE" w:rsidRDefault="004B0C20" w:rsidP="00855AB1">
            <w:pPr>
              <w:jc w:val="both"/>
              <w:rPr>
                <w:color w:val="000000" w:themeColor="text1"/>
              </w:rPr>
            </w:pPr>
            <w:r w:rsidRPr="003869AE">
              <w:rPr>
                <w:color w:val="000000" w:themeColor="text1"/>
              </w:rPr>
              <w:t>8</w:t>
            </w:r>
            <w:r w:rsidR="00855AB1" w:rsidRPr="003869AE">
              <w:rPr>
                <w:color w:val="000000" w:themeColor="text1"/>
              </w:rPr>
              <w:t xml:space="preserve"> adet</w:t>
            </w:r>
          </w:p>
        </w:tc>
      </w:tr>
    </w:tbl>
    <w:p w:rsidR="00855AB1" w:rsidRPr="003869AE" w:rsidRDefault="00855AB1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br w:type="textWrapping" w:clear="all"/>
      </w:r>
      <w:r w:rsidR="00305FB9" w:rsidRPr="003869AE">
        <w:rPr>
          <w:color w:val="000000" w:themeColor="text1"/>
        </w:rPr>
        <w:t xml:space="preserve">Daha ağır </w:t>
      </w:r>
      <w:r w:rsidR="004B0C20" w:rsidRPr="003869AE">
        <w:rPr>
          <w:color w:val="000000" w:themeColor="text1"/>
        </w:rPr>
        <w:t xml:space="preserve">sığırlar </w:t>
      </w:r>
      <w:r w:rsidR="00305FB9" w:rsidRPr="003869AE">
        <w:rPr>
          <w:color w:val="000000" w:themeColor="text1"/>
        </w:rPr>
        <w:t>için her 50</w:t>
      </w:r>
      <w:r w:rsidR="004B0C20" w:rsidRPr="003869AE">
        <w:rPr>
          <w:color w:val="000000" w:themeColor="text1"/>
        </w:rPr>
        <w:t xml:space="preserve"> </w:t>
      </w:r>
      <w:r w:rsidR="00305FB9" w:rsidRPr="003869AE">
        <w:rPr>
          <w:color w:val="000000" w:themeColor="text1"/>
        </w:rPr>
        <w:t xml:space="preserve">kg canlı ağırlığa 1 tablet ilave edilir. </w:t>
      </w:r>
    </w:p>
    <w:p w:rsidR="0056629F" w:rsidRPr="003869AE" w:rsidRDefault="00855AB1" w:rsidP="0056629F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Yarım kalan tabletler 7 gün içerisinde kullanılmalıdır. </w:t>
      </w:r>
    </w:p>
    <w:p w:rsidR="00855AB1" w:rsidRPr="003869AE" w:rsidRDefault="00855AB1" w:rsidP="0056629F">
      <w:pPr>
        <w:jc w:val="both"/>
        <w:rPr>
          <w:b/>
          <w:color w:val="000000" w:themeColor="text1"/>
        </w:rPr>
      </w:pPr>
    </w:p>
    <w:p w:rsidR="0056629F" w:rsidRPr="003869AE" w:rsidRDefault="0056629F" w:rsidP="0056629F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ÖZEL KLİNİK BİLGİLER / HEDEF TÜRLER İÇİN UYARILAR </w:t>
      </w:r>
    </w:p>
    <w:p w:rsidR="00B3261E" w:rsidRPr="003869AE" w:rsidRDefault="00B3261E" w:rsidP="009E579D">
      <w:p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Antihelmintiklerin</w:t>
      </w:r>
      <w:proofErr w:type="spellEnd"/>
      <w:r w:rsidRPr="003869AE">
        <w:rPr>
          <w:color w:val="000000" w:themeColor="text1"/>
        </w:rPr>
        <w:t xml:space="preserve"> yanlış kullanımı, parazitlerde direnç oluşumuna yol açabileceğinden uygun bir program </w:t>
      </w:r>
      <w:proofErr w:type="gramStart"/>
      <w:r w:rsidRPr="003869AE">
        <w:rPr>
          <w:color w:val="000000" w:themeColor="text1"/>
        </w:rPr>
        <w:t>dahilinde</w:t>
      </w:r>
      <w:proofErr w:type="gramEnd"/>
      <w:r w:rsidRPr="003869AE">
        <w:rPr>
          <w:color w:val="000000" w:themeColor="text1"/>
        </w:rPr>
        <w:t xml:space="preserve"> uygulama yapılmalıdır. </w:t>
      </w:r>
      <w:proofErr w:type="spellStart"/>
      <w:r w:rsidRPr="003869AE">
        <w:rPr>
          <w:color w:val="000000" w:themeColor="text1"/>
        </w:rPr>
        <w:t>Levamizol</w:t>
      </w:r>
      <w:proofErr w:type="spellEnd"/>
      <w:r w:rsidRPr="003869AE">
        <w:rPr>
          <w:color w:val="000000" w:themeColor="text1"/>
        </w:rPr>
        <w:t xml:space="preserve"> ve </w:t>
      </w:r>
      <w:proofErr w:type="spellStart"/>
      <w:r w:rsidR="002D4F29" w:rsidRPr="003869AE">
        <w:rPr>
          <w:color w:val="000000" w:themeColor="text1"/>
        </w:rPr>
        <w:t>t</w:t>
      </w:r>
      <w:r w:rsidRPr="003869AE">
        <w:rPr>
          <w:color w:val="000000" w:themeColor="text1"/>
        </w:rPr>
        <w:t>riklabendazole</w:t>
      </w:r>
      <w:proofErr w:type="spellEnd"/>
      <w:r w:rsidRPr="003869AE">
        <w:rPr>
          <w:color w:val="000000" w:themeColor="text1"/>
        </w:rPr>
        <w:t xml:space="preserve"> karşı dirençli </w:t>
      </w:r>
      <w:proofErr w:type="spellStart"/>
      <w:r w:rsidRPr="003869AE">
        <w:rPr>
          <w:color w:val="000000" w:themeColor="text1"/>
        </w:rPr>
        <w:t>suşlara</w:t>
      </w:r>
      <w:proofErr w:type="spellEnd"/>
      <w:r w:rsidRPr="003869AE">
        <w:rPr>
          <w:color w:val="000000" w:themeColor="text1"/>
        </w:rPr>
        <w:t xml:space="preserve"> karşı kullanıldığında etkisi azalır. </w:t>
      </w:r>
      <w:proofErr w:type="spellStart"/>
      <w:r w:rsidRPr="003869AE">
        <w:rPr>
          <w:color w:val="000000" w:themeColor="text1"/>
        </w:rPr>
        <w:t>Kaşektik</w:t>
      </w:r>
      <w:proofErr w:type="spellEnd"/>
      <w:r w:rsidRPr="003869AE">
        <w:rPr>
          <w:color w:val="000000" w:themeColor="text1"/>
        </w:rPr>
        <w:t xml:space="preserve"> ve ağır stres altındaki hayvanlar, uygulama sonrası gözlenmelidir. </w:t>
      </w:r>
      <w:r w:rsidR="00704A27" w:rsidRPr="003869AE">
        <w:rPr>
          <w:color w:val="000000" w:themeColor="text1"/>
        </w:rPr>
        <w:t>Hasta ve zayıf hayvanlara uygulanmamalıdır.</w:t>
      </w:r>
    </w:p>
    <w:p w:rsidR="00B3261E" w:rsidRPr="003869AE" w:rsidRDefault="00B3261E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>Tavsiye edilen dozların üzerinde uygulama yapılmamalı, doz belirlenirken, hayvanların canlı ağırlıkları dikkatli şekilde değerlendirilmelidir.</w:t>
      </w:r>
      <w:r w:rsidRPr="003869AE">
        <w:rPr>
          <w:color w:val="000000" w:themeColor="text1"/>
          <w:kern w:val="24"/>
        </w:rPr>
        <w:t xml:space="preserve"> Aşağıda belirtilen ilaçlama aralarında sürüye </w:t>
      </w:r>
      <w:proofErr w:type="gramStart"/>
      <w:r w:rsidRPr="003869AE">
        <w:rPr>
          <w:color w:val="000000" w:themeColor="text1"/>
          <w:kern w:val="24"/>
        </w:rPr>
        <w:t>dahil</w:t>
      </w:r>
      <w:proofErr w:type="gramEnd"/>
      <w:r w:rsidRPr="003869AE">
        <w:rPr>
          <w:color w:val="000000" w:themeColor="text1"/>
          <w:kern w:val="24"/>
        </w:rPr>
        <w:t xml:space="preserve"> edilen hayvanlara da aynı uygulama yapılmalıdır.</w:t>
      </w:r>
    </w:p>
    <w:p w:rsidR="00B3261E" w:rsidRPr="003869AE" w:rsidRDefault="00B3261E" w:rsidP="009E579D">
      <w:pPr>
        <w:jc w:val="both"/>
        <w:rPr>
          <w:b/>
          <w:color w:val="000000" w:themeColor="text1"/>
          <w:kern w:val="24"/>
        </w:rPr>
      </w:pPr>
      <w:r w:rsidRPr="003869AE">
        <w:rPr>
          <w:b/>
          <w:color w:val="000000" w:themeColor="text1"/>
          <w:kern w:val="24"/>
        </w:rPr>
        <w:t xml:space="preserve">Program: </w:t>
      </w:r>
    </w:p>
    <w:p w:rsidR="00B3261E" w:rsidRPr="003869AE" w:rsidRDefault="00B3261E" w:rsidP="009E579D">
      <w:pPr>
        <w:jc w:val="both"/>
        <w:rPr>
          <w:b/>
          <w:color w:val="000000" w:themeColor="text1"/>
          <w:kern w:val="24"/>
          <w:u w:val="single"/>
        </w:rPr>
      </w:pPr>
      <w:r w:rsidRPr="003869AE">
        <w:rPr>
          <w:b/>
          <w:color w:val="000000" w:themeColor="text1"/>
          <w:kern w:val="24"/>
          <w:u w:val="single"/>
        </w:rPr>
        <w:t xml:space="preserve">Rutin sürü ilaçlamaları: </w:t>
      </w:r>
    </w:p>
    <w:p w:rsidR="00B3261E" w:rsidRPr="003869AE" w:rsidRDefault="00B3261E" w:rsidP="009E579D">
      <w:pPr>
        <w:jc w:val="both"/>
        <w:rPr>
          <w:b/>
          <w:i/>
          <w:color w:val="000000" w:themeColor="text1"/>
          <w:kern w:val="24"/>
        </w:rPr>
      </w:pPr>
      <w:r w:rsidRPr="003869AE">
        <w:rPr>
          <w:b/>
          <w:i/>
          <w:color w:val="000000" w:themeColor="text1"/>
          <w:kern w:val="24"/>
        </w:rPr>
        <w:t xml:space="preserve">Yoğun risk taşıyan bölgeler için: </w:t>
      </w:r>
    </w:p>
    <w:p w:rsidR="00B3261E" w:rsidRPr="003869AE" w:rsidRDefault="00B3261E" w:rsidP="009E579D">
      <w:pPr>
        <w:jc w:val="both"/>
        <w:rPr>
          <w:color w:val="000000" w:themeColor="text1"/>
          <w:kern w:val="24"/>
        </w:rPr>
      </w:pPr>
      <w:r w:rsidRPr="003869AE">
        <w:rPr>
          <w:color w:val="000000" w:themeColor="text1"/>
          <w:kern w:val="24"/>
        </w:rPr>
        <w:t xml:space="preserve">Tüm sürüye, Mart-Nisan’dan, Ekim-Kasım aylarına kadar 10 haftalık aralıklarla, koruyucu olarak uygulama yapılır. Ocak ayında bir uygulama daha gerekli olabilir. </w:t>
      </w:r>
    </w:p>
    <w:p w:rsidR="00B3261E" w:rsidRPr="003869AE" w:rsidRDefault="00B3261E" w:rsidP="009E579D">
      <w:pPr>
        <w:jc w:val="both"/>
        <w:rPr>
          <w:b/>
          <w:i/>
          <w:color w:val="000000" w:themeColor="text1"/>
          <w:kern w:val="24"/>
        </w:rPr>
      </w:pPr>
      <w:r w:rsidRPr="003869AE">
        <w:rPr>
          <w:b/>
          <w:i/>
          <w:color w:val="000000" w:themeColor="text1"/>
          <w:kern w:val="24"/>
        </w:rPr>
        <w:t xml:space="preserve">Orta derecede risk taşıyan bölgeler için: </w:t>
      </w:r>
    </w:p>
    <w:p w:rsidR="00B3261E" w:rsidRPr="003869AE" w:rsidRDefault="00B3261E" w:rsidP="009E579D">
      <w:pPr>
        <w:jc w:val="both"/>
        <w:rPr>
          <w:color w:val="000000" w:themeColor="text1"/>
          <w:kern w:val="24"/>
        </w:rPr>
      </w:pPr>
      <w:r w:rsidRPr="003869AE">
        <w:rPr>
          <w:color w:val="000000" w:themeColor="text1"/>
          <w:kern w:val="24"/>
        </w:rPr>
        <w:t xml:space="preserve">Karaciğer kelebeği gözlenme riski bulunan aylardan itibaren 10-12 haftalık aralıklarla uygulama yapılır. (Eylül’den Ocak-Şubat aylarına kadar) İlkbaharda yapılacak bir destek uygulama, izleyen sonbahar ayında </w:t>
      </w:r>
      <w:proofErr w:type="gramStart"/>
      <w:r w:rsidRPr="003869AE">
        <w:rPr>
          <w:color w:val="000000" w:themeColor="text1"/>
          <w:kern w:val="24"/>
        </w:rPr>
        <w:t>enfeksiyon</w:t>
      </w:r>
      <w:proofErr w:type="gramEnd"/>
      <w:r w:rsidRPr="003869AE">
        <w:rPr>
          <w:color w:val="000000" w:themeColor="text1"/>
          <w:kern w:val="24"/>
        </w:rPr>
        <w:t xml:space="preserve"> şiddetinin azalmasına yardımcı olacaktır. </w:t>
      </w:r>
    </w:p>
    <w:p w:rsidR="00B3261E" w:rsidRPr="003869AE" w:rsidRDefault="00B3261E" w:rsidP="009E579D">
      <w:pPr>
        <w:jc w:val="both"/>
        <w:rPr>
          <w:b/>
          <w:i/>
          <w:color w:val="000000" w:themeColor="text1"/>
          <w:kern w:val="24"/>
        </w:rPr>
      </w:pPr>
      <w:r w:rsidRPr="003869AE">
        <w:rPr>
          <w:b/>
          <w:i/>
          <w:color w:val="000000" w:themeColor="text1"/>
          <w:kern w:val="24"/>
        </w:rPr>
        <w:t xml:space="preserve">Akut salgınların tedavisi: </w:t>
      </w:r>
    </w:p>
    <w:p w:rsidR="00B3261E" w:rsidRPr="003869AE" w:rsidRDefault="00B3261E" w:rsidP="009E579D">
      <w:pPr>
        <w:jc w:val="both"/>
        <w:rPr>
          <w:color w:val="000000" w:themeColor="text1"/>
          <w:kern w:val="24"/>
        </w:rPr>
      </w:pPr>
      <w:r w:rsidRPr="003869AE">
        <w:rPr>
          <w:color w:val="000000" w:themeColor="text1"/>
          <w:kern w:val="24"/>
        </w:rPr>
        <w:t xml:space="preserve">Tanı konur konmaz tedaviye başlanmalıdır. </w:t>
      </w:r>
      <w:proofErr w:type="spellStart"/>
      <w:r w:rsidRPr="003869AE">
        <w:rPr>
          <w:color w:val="000000" w:themeColor="text1"/>
          <w:kern w:val="24"/>
        </w:rPr>
        <w:t>Subakut</w:t>
      </w:r>
      <w:proofErr w:type="spellEnd"/>
      <w:r w:rsidRPr="003869AE">
        <w:rPr>
          <w:color w:val="000000" w:themeColor="text1"/>
          <w:kern w:val="24"/>
        </w:rPr>
        <w:t xml:space="preserve"> vakalarda uygulama </w:t>
      </w:r>
      <w:proofErr w:type="gramStart"/>
      <w:r w:rsidRPr="003869AE">
        <w:rPr>
          <w:color w:val="000000" w:themeColor="text1"/>
          <w:kern w:val="24"/>
        </w:rPr>
        <w:t>aralığı</w:t>
      </w:r>
      <w:proofErr w:type="gramEnd"/>
      <w:r w:rsidRPr="003869AE">
        <w:rPr>
          <w:color w:val="000000" w:themeColor="text1"/>
          <w:kern w:val="24"/>
        </w:rPr>
        <w:t xml:space="preserve"> 5-6 haftadır.</w:t>
      </w:r>
    </w:p>
    <w:p w:rsidR="00704A27" w:rsidRPr="003869AE" w:rsidRDefault="00704A27" w:rsidP="009E579D">
      <w:pPr>
        <w:jc w:val="both"/>
        <w:rPr>
          <w:color w:val="000000" w:themeColor="text1"/>
          <w:kern w:val="24"/>
        </w:rPr>
      </w:pPr>
    </w:p>
    <w:p w:rsidR="00704A27" w:rsidRPr="003869AE" w:rsidRDefault="00704A27" w:rsidP="00704A27">
      <w:pPr>
        <w:jc w:val="both"/>
        <w:rPr>
          <w:color w:val="000000" w:themeColor="text1"/>
          <w:kern w:val="24"/>
        </w:rPr>
      </w:pPr>
      <w:r w:rsidRPr="003869AE">
        <w:rPr>
          <w:color w:val="000000" w:themeColor="text1"/>
          <w:kern w:val="24"/>
        </w:rPr>
        <w:t>Ürüne direnç gelişim riskini azaltmak ve etkin bir tedavi sağlayabilmek için aşağıdaki hususlara dikkat edilmesi gerekir:</w:t>
      </w:r>
    </w:p>
    <w:p w:rsidR="00704A27" w:rsidRPr="003869AE" w:rsidRDefault="0081737A" w:rsidP="00704A27">
      <w:pPr>
        <w:jc w:val="both"/>
        <w:rPr>
          <w:color w:val="000000" w:themeColor="text1"/>
          <w:kern w:val="24"/>
        </w:rPr>
      </w:pPr>
      <w:r w:rsidRPr="003869AE">
        <w:rPr>
          <w:color w:val="000000" w:themeColor="text1"/>
          <w:kern w:val="24"/>
        </w:rPr>
        <w:t>Etkin</w:t>
      </w:r>
      <w:r w:rsidR="003732FD" w:rsidRPr="003869AE">
        <w:rPr>
          <w:color w:val="000000" w:themeColor="text1"/>
          <w:kern w:val="24"/>
        </w:rPr>
        <w:t xml:space="preserve"> </w:t>
      </w:r>
      <w:r w:rsidR="00704A27" w:rsidRPr="003869AE">
        <w:rPr>
          <w:color w:val="000000" w:themeColor="text1"/>
          <w:kern w:val="24"/>
        </w:rPr>
        <w:t>maddeler ile kimyasal yapı benzerliği bulunan</w:t>
      </w:r>
      <w:r w:rsidR="003732FD" w:rsidRPr="003869AE">
        <w:rPr>
          <w:color w:val="000000" w:themeColor="text1"/>
          <w:kern w:val="24"/>
        </w:rPr>
        <w:t xml:space="preserve"> ve aynı grupta yer alan diğer </w:t>
      </w:r>
      <w:proofErr w:type="spellStart"/>
      <w:r w:rsidR="00704A27" w:rsidRPr="003869AE">
        <w:rPr>
          <w:color w:val="000000" w:themeColor="text1"/>
          <w:kern w:val="24"/>
        </w:rPr>
        <w:t>antiparaziter</w:t>
      </w:r>
      <w:proofErr w:type="spellEnd"/>
      <w:r w:rsidR="00704A27" w:rsidRPr="003869AE">
        <w:rPr>
          <w:color w:val="000000" w:themeColor="text1"/>
          <w:kern w:val="24"/>
        </w:rPr>
        <w:t xml:space="preserve"> ilaçların uzun süre ve tekrarlanan uygulamalarından kaçınılmalıdır.</w:t>
      </w:r>
    </w:p>
    <w:p w:rsidR="00704A27" w:rsidRPr="003869AE" w:rsidRDefault="00704A27" w:rsidP="00704A27">
      <w:pPr>
        <w:jc w:val="both"/>
        <w:rPr>
          <w:color w:val="000000" w:themeColor="text1"/>
          <w:kern w:val="24"/>
        </w:rPr>
      </w:pPr>
      <w:r w:rsidRPr="003869AE">
        <w:rPr>
          <w:color w:val="000000" w:themeColor="text1"/>
          <w:kern w:val="24"/>
        </w:rPr>
        <w:t>Doz hesaplanması ve uygulama hatalarından kaçınılmalı ve uygun dozda kullanımına özen gösterilmelidir. Özellikle düşük dozda uygulamalar direnç gelişimine neden olabilir.</w:t>
      </w:r>
    </w:p>
    <w:p w:rsidR="00704A27" w:rsidRPr="003869AE" w:rsidRDefault="0081737A" w:rsidP="00704A27">
      <w:pPr>
        <w:jc w:val="both"/>
        <w:rPr>
          <w:kern w:val="24"/>
        </w:rPr>
      </w:pPr>
      <w:proofErr w:type="spellStart"/>
      <w:r w:rsidRPr="003869AE">
        <w:rPr>
          <w:color w:val="000000" w:themeColor="text1"/>
          <w:kern w:val="24"/>
        </w:rPr>
        <w:t>Antihelmintiklere</w:t>
      </w:r>
      <w:proofErr w:type="spellEnd"/>
      <w:r w:rsidRPr="003869AE">
        <w:rPr>
          <w:color w:val="000000" w:themeColor="text1"/>
          <w:kern w:val="24"/>
        </w:rPr>
        <w:t xml:space="preserve"> </w:t>
      </w:r>
      <w:r w:rsidR="00704A27" w:rsidRPr="003869AE">
        <w:rPr>
          <w:color w:val="000000" w:themeColor="text1"/>
          <w:kern w:val="24"/>
        </w:rPr>
        <w:t xml:space="preserve">karşı dirençlilik durumundan şüphelenildiğinde testler (örneğin dışkıda parazit yumurta sayısının </w:t>
      </w:r>
      <w:r w:rsidR="00704A27" w:rsidRPr="003869AE">
        <w:rPr>
          <w:kern w:val="24"/>
        </w:rPr>
        <w:t xml:space="preserve">azalma) yapılarak doğru kanıya ulaşılabilir. Direnç gelişimi </w:t>
      </w:r>
      <w:r w:rsidR="00704A27" w:rsidRPr="003869AE">
        <w:rPr>
          <w:kern w:val="24"/>
        </w:rPr>
        <w:lastRenderedPageBreak/>
        <w:t>belirlendiğinde farklı farmakolojik sınıfa ve farklı bir et</w:t>
      </w:r>
      <w:r w:rsidR="003732FD" w:rsidRPr="003869AE">
        <w:rPr>
          <w:kern w:val="24"/>
        </w:rPr>
        <w:t xml:space="preserve">ki mekanizmasına sahip olan bir </w:t>
      </w:r>
      <w:proofErr w:type="spellStart"/>
      <w:r w:rsidRPr="003869AE">
        <w:rPr>
          <w:kern w:val="24"/>
        </w:rPr>
        <w:t>antihelmintik</w:t>
      </w:r>
      <w:proofErr w:type="spellEnd"/>
      <w:r w:rsidRPr="003869AE">
        <w:rPr>
          <w:kern w:val="24"/>
        </w:rPr>
        <w:t xml:space="preserve"> </w:t>
      </w:r>
      <w:r w:rsidR="00704A27" w:rsidRPr="003869AE">
        <w:rPr>
          <w:kern w:val="24"/>
        </w:rPr>
        <w:t>kullanılmalıdır.</w:t>
      </w:r>
    </w:p>
    <w:p w:rsidR="00D479A5" w:rsidRPr="003869AE" w:rsidRDefault="00D479A5" w:rsidP="00D479A5">
      <w:pPr>
        <w:jc w:val="both"/>
        <w:rPr>
          <w:kern w:val="24"/>
        </w:rPr>
      </w:pPr>
      <w:r w:rsidRPr="003869AE">
        <w:rPr>
          <w:kern w:val="24"/>
        </w:rPr>
        <w:t xml:space="preserve">Yeni Zelanda gibi gelişmiş ülkelerdeki sığırlarda </w:t>
      </w:r>
      <w:proofErr w:type="spellStart"/>
      <w:r w:rsidRPr="003869AE">
        <w:rPr>
          <w:i/>
          <w:kern w:val="24"/>
        </w:rPr>
        <w:t>Teladorsagia</w:t>
      </w:r>
      <w:proofErr w:type="spellEnd"/>
      <w:r w:rsidRPr="003869AE">
        <w:rPr>
          <w:kern w:val="24"/>
        </w:rPr>
        <w:t xml:space="preserve"> türlerinde </w:t>
      </w:r>
      <w:proofErr w:type="spellStart"/>
      <w:r w:rsidRPr="003869AE">
        <w:rPr>
          <w:kern w:val="24"/>
        </w:rPr>
        <w:t>levamizole</w:t>
      </w:r>
      <w:proofErr w:type="spellEnd"/>
      <w:r w:rsidRPr="003869AE">
        <w:rPr>
          <w:kern w:val="24"/>
        </w:rPr>
        <w:t xml:space="preserve"> direnç bildirilmiştir. </w:t>
      </w:r>
    </w:p>
    <w:p w:rsidR="00704A27" w:rsidRPr="003869AE" w:rsidRDefault="00704A27" w:rsidP="00704A27">
      <w:pPr>
        <w:jc w:val="both"/>
        <w:rPr>
          <w:kern w:val="24"/>
        </w:rPr>
      </w:pPr>
      <w:proofErr w:type="spellStart"/>
      <w:r w:rsidRPr="003869AE">
        <w:rPr>
          <w:kern w:val="24"/>
        </w:rPr>
        <w:t>Triklabendazol</w:t>
      </w:r>
      <w:proofErr w:type="spellEnd"/>
      <w:r w:rsidRPr="003869AE">
        <w:rPr>
          <w:kern w:val="24"/>
        </w:rPr>
        <w:t xml:space="preserve"> rezistanslığı ilk olarak 1995 yılında Avustralya’da </w:t>
      </w:r>
      <w:proofErr w:type="spellStart"/>
      <w:r w:rsidRPr="003869AE">
        <w:rPr>
          <w:i/>
          <w:kern w:val="24"/>
        </w:rPr>
        <w:t>Fasciola</w:t>
      </w:r>
      <w:proofErr w:type="spellEnd"/>
      <w:r w:rsidRPr="003869AE">
        <w:rPr>
          <w:i/>
          <w:kern w:val="24"/>
        </w:rPr>
        <w:t xml:space="preserve"> </w:t>
      </w:r>
      <w:proofErr w:type="spellStart"/>
      <w:r w:rsidRPr="003869AE">
        <w:rPr>
          <w:i/>
          <w:kern w:val="24"/>
        </w:rPr>
        <w:t>hepatica</w:t>
      </w:r>
      <w:r w:rsidRPr="003869AE">
        <w:rPr>
          <w:kern w:val="24"/>
        </w:rPr>
        <w:t>’nın</w:t>
      </w:r>
      <w:proofErr w:type="spellEnd"/>
      <w:r w:rsidRPr="003869AE">
        <w:rPr>
          <w:kern w:val="24"/>
        </w:rPr>
        <w:t xml:space="preserve"> saha </w:t>
      </w:r>
      <w:proofErr w:type="spellStart"/>
      <w:r w:rsidRPr="003869AE">
        <w:rPr>
          <w:kern w:val="24"/>
        </w:rPr>
        <w:t>izolatında</w:t>
      </w:r>
      <w:proofErr w:type="spellEnd"/>
      <w:r w:rsidRPr="003869AE">
        <w:rPr>
          <w:kern w:val="24"/>
        </w:rPr>
        <w:t xml:space="preserve"> tanımlanmış ve ardından Avrupa’da (Hollanda’da ve İspanya’da) </w:t>
      </w:r>
      <w:proofErr w:type="spellStart"/>
      <w:r w:rsidRPr="003869AE">
        <w:rPr>
          <w:kern w:val="24"/>
        </w:rPr>
        <w:t>triklabendazol</w:t>
      </w:r>
      <w:proofErr w:type="spellEnd"/>
      <w:r w:rsidRPr="003869AE">
        <w:rPr>
          <w:kern w:val="24"/>
        </w:rPr>
        <w:t xml:space="preserve"> rezistanslığı koyun ve sığır çiftliklerinde saptanmıştır.</w:t>
      </w:r>
    </w:p>
    <w:p w:rsidR="00D479A5" w:rsidRPr="003869AE" w:rsidRDefault="00D479A5" w:rsidP="00D479A5">
      <w:pPr>
        <w:jc w:val="both"/>
        <w:rPr>
          <w:bCs/>
          <w:kern w:val="24"/>
        </w:rPr>
      </w:pPr>
      <w:r w:rsidRPr="003869AE">
        <w:rPr>
          <w:bCs/>
          <w:kern w:val="24"/>
        </w:rPr>
        <w:t xml:space="preserve">Bu nedenle bu ürünün kullanımı, </w:t>
      </w:r>
      <w:proofErr w:type="spellStart"/>
      <w:r w:rsidRPr="003869AE">
        <w:rPr>
          <w:bCs/>
          <w:kern w:val="24"/>
        </w:rPr>
        <w:t>nematodlara</w:t>
      </w:r>
      <w:proofErr w:type="spellEnd"/>
      <w:r w:rsidRPr="003869AE">
        <w:rPr>
          <w:bCs/>
          <w:kern w:val="24"/>
        </w:rPr>
        <w:t xml:space="preserve"> karşı duyarlılık hakkındaki yerel (bölgesel veya çiftlik) epidemiyolojik bilgilere ve </w:t>
      </w:r>
      <w:proofErr w:type="spellStart"/>
      <w:r w:rsidRPr="003869AE">
        <w:rPr>
          <w:bCs/>
          <w:kern w:val="24"/>
        </w:rPr>
        <w:t>antihelmintik</w:t>
      </w:r>
      <w:proofErr w:type="spellEnd"/>
      <w:r w:rsidRPr="003869AE">
        <w:rPr>
          <w:bCs/>
          <w:kern w:val="24"/>
        </w:rPr>
        <w:t xml:space="preserve"> direncine karşı sonraki seçimi sınırlandırma yollarına ilişkin tavsiyelere dayalı olmalıdır. </w:t>
      </w:r>
    </w:p>
    <w:p w:rsidR="001A244D" w:rsidRPr="003869AE" w:rsidRDefault="001A244D" w:rsidP="00D479A5">
      <w:pPr>
        <w:jc w:val="both"/>
        <w:rPr>
          <w:bCs/>
          <w:kern w:val="24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>İSTENMEYEN/YAN ETKİLER</w:t>
      </w:r>
    </w:p>
    <w:p w:rsidR="00D22BE7" w:rsidRPr="003869AE" w:rsidRDefault="00B3261E" w:rsidP="00D22BE7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Önerilen dozda uygulandığında, yan etkilerin görülme olasılığı oldukça azdır. Ancak, </w:t>
      </w:r>
      <w:proofErr w:type="spellStart"/>
      <w:r w:rsidR="0010404F" w:rsidRPr="003869AE">
        <w:rPr>
          <w:color w:val="000000" w:themeColor="text1"/>
        </w:rPr>
        <w:t>levamizole</w:t>
      </w:r>
      <w:proofErr w:type="spellEnd"/>
      <w:r w:rsidR="0010404F" w:rsidRPr="003869AE">
        <w:rPr>
          <w:color w:val="000000" w:themeColor="text1"/>
        </w:rPr>
        <w:t xml:space="preserve"> </w:t>
      </w:r>
      <w:r w:rsidRPr="003869AE">
        <w:rPr>
          <w:color w:val="000000" w:themeColor="text1"/>
        </w:rPr>
        <w:t>bağlı olarak, seyrek de olsa, kusma</w:t>
      </w:r>
      <w:r w:rsidR="003140B5" w:rsidRPr="003869AE">
        <w:rPr>
          <w:color w:val="000000" w:themeColor="text1"/>
        </w:rPr>
        <w:t xml:space="preserve">, </w:t>
      </w:r>
      <w:proofErr w:type="spellStart"/>
      <w:r w:rsidR="003140B5" w:rsidRPr="003869AE">
        <w:rPr>
          <w:color w:val="000000" w:themeColor="text1"/>
        </w:rPr>
        <w:t>salivasyon</w:t>
      </w:r>
      <w:proofErr w:type="spellEnd"/>
      <w:r w:rsidR="003140B5" w:rsidRPr="003869AE">
        <w:rPr>
          <w:color w:val="000000" w:themeColor="text1"/>
        </w:rPr>
        <w:t xml:space="preserve"> ve kas tremorları</w:t>
      </w:r>
      <w:r w:rsidRPr="003869AE">
        <w:rPr>
          <w:color w:val="000000" w:themeColor="text1"/>
        </w:rPr>
        <w:t xml:space="preserve"> gibi </w:t>
      </w:r>
      <w:proofErr w:type="gramStart"/>
      <w:r w:rsidRPr="003869AE">
        <w:rPr>
          <w:color w:val="000000" w:themeColor="text1"/>
        </w:rPr>
        <w:t>semptomlar</w:t>
      </w:r>
      <w:proofErr w:type="gramEnd"/>
      <w:r w:rsidRPr="003869AE">
        <w:rPr>
          <w:color w:val="000000" w:themeColor="text1"/>
        </w:rPr>
        <w:t xml:space="preserve"> gelişebilir.</w:t>
      </w:r>
      <w:r w:rsidR="004A6EA8" w:rsidRPr="003869AE">
        <w:rPr>
          <w:color w:val="000000" w:themeColor="text1"/>
        </w:rPr>
        <w:t xml:space="preserve"> </w:t>
      </w:r>
      <w:r w:rsidRPr="003869AE">
        <w:rPr>
          <w:color w:val="000000" w:themeColor="text1"/>
        </w:rPr>
        <w:t>Tekrarlanan dozlarda, ateş, kas ağrısı ve deride al</w:t>
      </w:r>
      <w:r w:rsidR="0064412F" w:rsidRPr="003869AE">
        <w:rPr>
          <w:color w:val="000000" w:themeColor="text1"/>
        </w:rPr>
        <w:t xml:space="preserve">erjik reaksiyonlar gelişebilir. </w:t>
      </w:r>
      <w:proofErr w:type="spellStart"/>
      <w:r w:rsidR="00AE078A" w:rsidRPr="003869AE">
        <w:rPr>
          <w:color w:val="000000" w:themeColor="text1"/>
        </w:rPr>
        <w:t>Levamizolün</w:t>
      </w:r>
      <w:proofErr w:type="spellEnd"/>
      <w:r w:rsidR="00AE078A" w:rsidRPr="003869AE">
        <w:rPr>
          <w:color w:val="000000" w:themeColor="text1"/>
        </w:rPr>
        <w:t xml:space="preserve"> sağaltım indeksi dar olduğundan, doz uygulaması dikkatli yapılmalıdır.</w:t>
      </w:r>
      <w:r w:rsidR="006C5B41" w:rsidRPr="003869AE">
        <w:rPr>
          <w:color w:val="000000" w:themeColor="text1"/>
        </w:rPr>
        <w:t xml:space="preserve"> </w:t>
      </w:r>
      <w:proofErr w:type="spellStart"/>
      <w:r w:rsidR="006C5B41" w:rsidRPr="003869AE">
        <w:rPr>
          <w:color w:val="000000" w:themeColor="text1"/>
        </w:rPr>
        <w:t>Triklabendazole</w:t>
      </w:r>
      <w:proofErr w:type="spellEnd"/>
      <w:r w:rsidR="006C5B41" w:rsidRPr="003869AE">
        <w:rPr>
          <w:color w:val="000000" w:themeColor="text1"/>
        </w:rPr>
        <w:t xml:space="preserve"> bağlı olarak deri </w:t>
      </w:r>
      <w:proofErr w:type="spellStart"/>
      <w:r w:rsidR="006C5B41" w:rsidRPr="003869AE">
        <w:rPr>
          <w:color w:val="000000" w:themeColor="text1"/>
        </w:rPr>
        <w:t>irritasyonu</w:t>
      </w:r>
      <w:proofErr w:type="spellEnd"/>
      <w:r w:rsidR="006C5B41" w:rsidRPr="003869AE">
        <w:rPr>
          <w:color w:val="000000" w:themeColor="text1"/>
        </w:rPr>
        <w:t xml:space="preserve"> görülebilir. </w:t>
      </w:r>
      <w:r w:rsidR="00D22BE7" w:rsidRPr="003869AE">
        <w:rPr>
          <w:color w:val="000000" w:themeColor="text1"/>
        </w:rPr>
        <w:t xml:space="preserve">Avustralya'da </w:t>
      </w:r>
      <w:proofErr w:type="spellStart"/>
      <w:r w:rsidR="00D22BE7" w:rsidRPr="003869AE">
        <w:rPr>
          <w:color w:val="000000" w:themeColor="text1"/>
        </w:rPr>
        <w:t>triklabendazol</w:t>
      </w:r>
      <w:proofErr w:type="spellEnd"/>
      <w:r w:rsidR="00D22BE7" w:rsidRPr="003869AE">
        <w:rPr>
          <w:color w:val="000000" w:themeColor="text1"/>
        </w:rPr>
        <w:t xml:space="preserve"> tedavisinden sonra ineklerin </w:t>
      </w:r>
      <w:r w:rsidR="0010404F" w:rsidRPr="003869AE">
        <w:rPr>
          <w:color w:val="000000" w:themeColor="text1"/>
        </w:rPr>
        <w:t xml:space="preserve">pigmentli </w:t>
      </w:r>
      <w:r w:rsidR="00D22BE7" w:rsidRPr="003869AE">
        <w:rPr>
          <w:color w:val="000000" w:themeColor="text1"/>
        </w:rPr>
        <w:t xml:space="preserve">olmayan deri kısımlarında (meme üzerindeki meme başı, meme başı ve burun) ışığa duyarlılık durumuna bağlı olarak deride iltihaplanma gözlenmiştir. </w:t>
      </w:r>
    </w:p>
    <w:p w:rsidR="0064412F" w:rsidRPr="003869AE" w:rsidRDefault="0064412F" w:rsidP="009E579D">
      <w:pPr>
        <w:jc w:val="both"/>
        <w:rPr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>İLAÇ ETKİLEŞİMLERİ</w:t>
      </w:r>
    </w:p>
    <w:p w:rsidR="00B3261E" w:rsidRPr="003869AE" w:rsidRDefault="00B3261E" w:rsidP="009E579D">
      <w:pPr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Piperazin</w:t>
      </w:r>
      <w:proofErr w:type="spellEnd"/>
      <w:r w:rsidRPr="003869AE">
        <w:rPr>
          <w:color w:val="000000" w:themeColor="text1"/>
        </w:rPr>
        <w:t xml:space="preserve"> tuzları ile </w:t>
      </w:r>
      <w:proofErr w:type="spellStart"/>
      <w:r w:rsidRPr="003869AE">
        <w:rPr>
          <w:color w:val="000000" w:themeColor="text1"/>
        </w:rPr>
        <w:t>antagonistik</w:t>
      </w:r>
      <w:proofErr w:type="spellEnd"/>
      <w:r w:rsidRPr="003869AE">
        <w:rPr>
          <w:color w:val="000000" w:themeColor="text1"/>
        </w:rPr>
        <w:t xml:space="preserve"> etki nedeniyle birlikte kullanılmamalıdır.</w:t>
      </w:r>
    </w:p>
    <w:p w:rsidR="00B3261E" w:rsidRPr="003869AE" w:rsidRDefault="00B3261E" w:rsidP="009E579D">
      <w:pPr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Tetrahidroprimidinler</w:t>
      </w:r>
      <w:proofErr w:type="spellEnd"/>
      <w:r w:rsidRPr="003869AE">
        <w:rPr>
          <w:color w:val="000000" w:themeColor="text1"/>
        </w:rPr>
        <w:t xml:space="preserve"> (</w:t>
      </w:r>
      <w:proofErr w:type="spellStart"/>
      <w:r w:rsidRPr="003869AE">
        <w:rPr>
          <w:color w:val="000000" w:themeColor="text1"/>
        </w:rPr>
        <w:t>pirantel</w:t>
      </w:r>
      <w:proofErr w:type="spellEnd"/>
      <w:r w:rsidRPr="003869AE">
        <w:rPr>
          <w:color w:val="000000" w:themeColor="text1"/>
        </w:rPr>
        <w:t xml:space="preserve"> ve </w:t>
      </w:r>
      <w:proofErr w:type="spellStart"/>
      <w:r w:rsidRPr="003869AE">
        <w:rPr>
          <w:color w:val="000000" w:themeColor="text1"/>
        </w:rPr>
        <w:t>morantel</w:t>
      </w:r>
      <w:proofErr w:type="spellEnd"/>
      <w:r w:rsidRPr="003869AE">
        <w:rPr>
          <w:color w:val="000000" w:themeColor="text1"/>
        </w:rPr>
        <w:t xml:space="preserve"> tuzları) ile birlikte kullanılması </w:t>
      </w:r>
      <w:proofErr w:type="spellStart"/>
      <w:r w:rsidRPr="003869AE">
        <w:rPr>
          <w:color w:val="000000" w:themeColor="text1"/>
        </w:rPr>
        <w:t>toksisite</w:t>
      </w:r>
      <w:proofErr w:type="spellEnd"/>
      <w:r w:rsidRPr="003869AE">
        <w:rPr>
          <w:color w:val="000000" w:themeColor="text1"/>
        </w:rPr>
        <w:t xml:space="preserve"> artışına yol açabilir.</w:t>
      </w:r>
    </w:p>
    <w:p w:rsidR="00B3261E" w:rsidRPr="003869AE" w:rsidRDefault="00B3261E" w:rsidP="009E579D">
      <w:pPr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3869AE">
        <w:rPr>
          <w:color w:val="000000" w:themeColor="text1"/>
        </w:rPr>
        <w:t>Nikotinik</w:t>
      </w:r>
      <w:proofErr w:type="spellEnd"/>
      <w:r w:rsidRPr="003869AE">
        <w:rPr>
          <w:color w:val="000000" w:themeColor="text1"/>
        </w:rPr>
        <w:t xml:space="preserve"> etkileri nedeniyle organik fosforlu bileşiklerle (</w:t>
      </w:r>
      <w:proofErr w:type="spellStart"/>
      <w:r w:rsidRPr="003869AE">
        <w:rPr>
          <w:color w:val="000000" w:themeColor="text1"/>
        </w:rPr>
        <w:t>triklorfon</w:t>
      </w:r>
      <w:proofErr w:type="spellEnd"/>
      <w:r w:rsidRPr="003869AE">
        <w:rPr>
          <w:color w:val="000000" w:themeColor="text1"/>
        </w:rPr>
        <w:t xml:space="preserve">, </w:t>
      </w:r>
      <w:proofErr w:type="spellStart"/>
      <w:r w:rsidRPr="003869AE">
        <w:rPr>
          <w:color w:val="000000" w:themeColor="text1"/>
        </w:rPr>
        <w:t>diklorvos</w:t>
      </w:r>
      <w:proofErr w:type="spellEnd"/>
      <w:r w:rsidRPr="003869AE">
        <w:rPr>
          <w:color w:val="000000" w:themeColor="text1"/>
        </w:rPr>
        <w:t xml:space="preserve">, vs), </w:t>
      </w:r>
      <w:proofErr w:type="spellStart"/>
      <w:r w:rsidRPr="003869AE">
        <w:rPr>
          <w:color w:val="000000" w:themeColor="text1"/>
        </w:rPr>
        <w:t>fenotiyazinler</w:t>
      </w:r>
      <w:proofErr w:type="spellEnd"/>
      <w:r w:rsidRPr="003869AE">
        <w:rPr>
          <w:color w:val="000000" w:themeColor="text1"/>
        </w:rPr>
        <w:t xml:space="preserve">, </w:t>
      </w:r>
      <w:proofErr w:type="spellStart"/>
      <w:r w:rsidRPr="003869AE">
        <w:rPr>
          <w:color w:val="000000" w:themeColor="text1"/>
        </w:rPr>
        <w:t>dietilkarbamazin</w:t>
      </w:r>
      <w:proofErr w:type="spellEnd"/>
      <w:r w:rsidRPr="003869AE">
        <w:rPr>
          <w:color w:val="000000" w:themeColor="text1"/>
        </w:rPr>
        <w:t xml:space="preserve">, </w:t>
      </w:r>
      <w:proofErr w:type="spellStart"/>
      <w:r w:rsidRPr="003869AE">
        <w:rPr>
          <w:color w:val="000000" w:themeColor="text1"/>
        </w:rPr>
        <w:t>prokain</w:t>
      </w:r>
      <w:proofErr w:type="spellEnd"/>
      <w:r w:rsidRPr="003869AE">
        <w:rPr>
          <w:color w:val="000000" w:themeColor="text1"/>
        </w:rPr>
        <w:t xml:space="preserve"> ve </w:t>
      </w:r>
      <w:proofErr w:type="spellStart"/>
      <w:r w:rsidRPr="003869AE">
        <w:rPr>
          <w:color w:val="000000" w:themeColor="text1"/>
        </w:rPr>
        <w:t>fenikollerle</w:t>
      </w:r>
      <w:proofErr w:type="spellEnd"/>
      <w:r w:rsidRPr="003869AE">
        <w:rPr>
          <w:color w:val="000000" w:themeColor="text1"/>
        </w:rPr>
        <w:t xml:space="preserve"> birlikte kullanılmamalıdır.</w:t>
      </w:r>
    </w:p>
    <w:p w:rsidR="003732F8" w:rsidRPr="003869AE" w:rsidRDefault="003732F8" w:rsidP="009E579D">
      <w:pPr>
        <w:jc w:val="both"/>
        <w:rPr>
          <w:b/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DOZ AŞIMINDA BELİRTİLER, TEDBİRLER VE ANTİDOT </w:t>
      </w:r>
    </w:p>
    <w:p w:rsidR="0056629F" w:rsidRPr="003869AE" w:rsidRDefault="00B3261E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Aşırı doz uygulamaları, (önerilen dozun 5 katı), </w:t>
      </w:r>
      <w:proofErr w:type="spellStart"/>
      <w:r w:rsidRPr="003869AE">
        <w:rPr>
          <w:color w:val="000000" w:themeColor="text1"/>
        </w:rPr>
        <w:t>levamizol</w:t>
      </w:r>
      <w:proofErr w:type="spellEnd"/>
      <w:r w:rsidRPr="003869AE">
        <w:rPr>
          <w:color w:val="000000" w:themeColor="text1"/>
        </w:rPr>
        <w:t xml:space="preserve"> zehirlenmesine yol açabilir. Aşırı </w:t>
      </w:r>
      <w:proofErr w:type="spellStart"/>
      <w:r w:rsidRPr="003869AE">
        <w:rPr>
          <w:color w:val="000000" w:themeColor="text1"/>
        </w:rPr>
        <w:t>salivasyon</w:t>
      </w:r>
      <w:proofErr w:type="spellEnd"/>
      <w:r w:rsidRPr="003869AE">
        <w:rPr>
          <w:color w:val="000000" w:themeColor="text1"/>
        </w:rPr>
        <w:t xml:space="preserve">, bulantı, kusma, </w:t>
      </w:r>
      <w:proofErr w:type="spellStart"/>
      <w:r w:rsidRPr="003869AE">
        <w:rPr>
          <w:color w:val="000000" w:themeColor="text1"/>
        </w:rPr>
        <w:t>ürinasyon</w:t>
      </w:r>
      <w:proofErr w:type="spellEnd"/>
      <w:r w:rsidRPr="003869AE">
        <w:rPr>
          <w:color w:val="000000" w:themeColor="text1"/>
        </w:rPr>
        <w:t xml:space="preserve">, </w:t>
      </w:r>
      <w:proofErr w:type="spellStart"/>
      <w:r w:rsidRPr="003869AE">
        <w:rPr>
          <w:color w:val="000000" w:themeColor="text1"/>
        </w:rPr>
        <w:t>defekasyon</w:t>
      </w:r>
      <w:proofErr w:type="spellEnd"/>
      <w:r w:rsidRPr="003869AE">
        <w:rPr>
          <w:color w:val="000000" w:themeColor="text1"/>
        </w:rPr>
        <w:t xml:space="preserve">, </w:t>
      </w:r>
      <w:proofErr w:type="spellStart"/>
      <w:r w:rsidRPr="003869AE">
        <w:rPr>
          <w:color w:val="000000" w:themeColor="text1"/>
        </w:rPr>
        <w:t>pupillerin</w:t>
      </w:r>
      <w:proofErr w:type="spellEnd"/>
      <w:r w:rsidRPr="003869AE">
        <w:rPr>
          <w:color w:val="000000" w:themeColor="text1"/>
        </w:rPr>
        <w:t xml:space="preserve"> daralması, </w:t>
      </w:r>
      <w:proofErr w:type="spellStart"/>
      <w:r w:rsidRPr="003869AE">
        <w:rPr>
          <w:color w:val="000000" w:themeColor="text1"/>
        </w:rPr>
        <w:t>hipersensitivite</w:t>
      </w:r>
      <w:proofErr w:type="spellEnd"/>
      <w:r w:rsidRPr="003869AE">
        <w:rPr>
          <w:color w:val="000000" w:themeColor="text1"/>
        </w:rPr>
        <w:t xml:space="preserve"> ve hafif kas tremorları gözlenebilir. Bu </w:t>
      </w:r>
      <w:proofErr w:type="gramStart"/>
      <w:r w:rsidRPr="003869AE">
        <w:rPr>
          <w:color w:val="000000" w:themeColor="text1"/>
        </w:rPr>
        <w:t>semptomlar</w:t>
      </w:r>
      <w:proofErr w:type="gramEnd"/>
      <w:r w:rsidRPr="003869AE">
        <w:rPr>
          <w:color w:val="000000" w:themeColor="text1"/>
        </w:rPr>
        <w:t xml:space="preserve">, 1-4 saat içinde geçer. </w:t>
      </w:r>
      <w:proofErr w:type="spellStart"/>
      <w:r w:rsidRPr="003869AE">
        <w:rPr>
          <w:color w:val="000000" w:themeColor="text1"/>
        </w:rPr>
        <w:t>Triklabendazol</w:t>
      </w:r>
      <w:proofErr w:type="spellEnd"/>
      <w:r w:rsidRPr="003869AE">
        <w:rPr>
          <w:color w:val="000000" w:themeColor="text1"/>
        </w:rPr>
        <w:t xml:space="preserve"> daha güvenilirdir. </w:t>
      </w:r>
      <w:proofErr w:type="spellStart"/>
      <w:r w:rsidR="0056629F" w:rsidRPr="003869AE">
        <w:rPr>
          <w:color w:val="000000" w:themeColor="text1"/>
        </w:rPr>
        <w:t>Levamizolün</w:t>
      </w:r>
      <w:proofErr w:type="spellEnd"/>
      <w:r w:rsidR="0056629F" w:rsidRPr="003869AE">
        <w:rPr>
          <w:color w:val="000000" w:themeColor="text1"/>
        </w:rPr>
        <w:t xml:space="preserve"> </w:t>
      </w:r>
      <w:proofErr w:type="gramStart"/>
      <w:r w:rsidR="0056629F" w:rsidRPr="003869AE">
        <w:rPr>
          <w:color w:val="000000" w:themeColor="text1"/>
        </w:rPr>
        <w:t>spesifik</w:t>
      </w:r>
      <w:proofErr w:type="gramEnd"/>
      <w:r w:rsidR="0056629F" w:rsidRPr="003869AE">
        <w:rPr>
          <w:color w:val="000000" w:themeColor="text1"/>
        </w:rPr>
        <w:t xml:space="preserve"> bir antidotu bulunmamaktadır. Zehirlenmelerde nikotin </w:t>
      </w:r>
      <w:proofErr w:type="gramStart"/>
      <w:r w:rsidR="0056629F" w:rsidRPr="003869AE">
        <w:rPr>
          <w:color w:val="000000" w:themeColor="text1"/>
        </w:rPr>
        <w:t>antagonistleri</w:t>
      </w:r>
      <w:proofErr w:type="gramEnd"/>
      <w:r w:rsidR="0056629F" w:rsidRPr="003869AE">
        <w:rPr>
          <w:color w:val="000000" w:themeColor="text1"/>
        </w:rPr>
        <w:t xml:space="preserve">, </w:t>
      </w:r>
      <w:proofErr w:type="spellStart"/>
      <w:r w:rsidR="0056629F" w:rsidRPr="003869AE">
        <w:rPr>
          <w:color w:val="000000" w:themeColor="text1"/>
        </w:rPr>
        <w:t>antikolinerjik</w:t>
      </w:r>
      <w:proofErr w:type="spellEnd"/>
      <w:r w:rsidR="0056629F" w:rsidRPr="003869AE">
        <w:rPr>
          <w:color w:val="000000" w:themeColor="text1"/>
        </w:rPr>
        <w:t xml:space="preserve"> ve anti-alfa-</w:t>
      </w:r>
      <w:proofErr w:type="spellStart"/>
      <w:r w:rsidR="0056629F" w:rsidRPr="003869AE">
        <w:rPr>
          <w:color w:val="000000" w:themeColor="text1"/>
        </w:rPr>
        <w:t>adrenerjik</w:t>
      </w:r>
      <w:proofErr w:type="spellEnd"/>
      <w:r w:rsidR="0056629F" w:rsidRPr="003869AE">
        <w:rPr>
          <w:color w:val="000000" w:themeColor="text1"/>
        </w:rPr>
        <w:t xml:space="preserve"> ilaçlar kullanılabilir. Bu durumda atropin oldukça yararlıdır; parasempatik ve merkezi sinir </w:t>
      </w:r>
      <w:proofErr w:type="gramStart"/>
      <w:r w:rsidR="0056629F" w:rsidRPr="003869AE">
        <w:rPr>
          <w:color w:val="000000" w:themeColor="text1"/>
        </w:rPr>
        <w:t>semptomlarının</w:t>
      </w:r>
      <w:proofErr w:type="gramEnd"/>
      <w:r w:rsidR="0056629F" w:rsidRPr="003869AE">
        <w:rPr>
          <w:color w:val="000000" w:themeColor="text1"/>
        </w:rPr>
        <w:t xml:space="preserve"> kontrol altına alınması için </w:t>
      </w:r>
      <w:proofErr w:type="spellStart"/>
      <w:r w:rsidR="0056629F" w:rsidRPr="003869AE">
        <w:rPr>
          <w:color w:val="000000" w:themeColor="text1"/>
        </w:rPr>
        <w:t>intravenöz</w:t>
      </w:r>
      <w:proofErr w:type="spellEnd"/>
      <w:r w:rsidR="0056629F" w:rsidRPr="003869AE">
        <w:rPr>
          <w:color w:val="000000" w:themeColor="text1"/>
        </w:rPr>
        <w:t xml:space="preserve"> yolla uygulanmalıdır. Bununla birlikte, atropin tek başına ölüm oranını düşürmez. Destekleyici uygulamalar oldukça önemlidir. Akut zehirlenmelerde ölüm nedeni solunum yetmezliğine bağlı </w:t>
      </w:r>
      <w:proofErr w:type="spellStart"/>
      <w:r w:rsidR="0056629F" w:rsidRPr="003869AE">
        <w:rPr>
          <w:color w:val="000000" w:themeColor="text1"/>
        </w:rPr>
        <w:t>asfeksi</w:t>
      </w:r>
      <w:proofErr w:type="spellEnd"/>
      <w:r w:rsidR="0056629F" w:rsidRPr="003869AE">
        <w:rPr>
          <w:color w:val="000000" w:themeColor="text1"/>
        </w:rPr>
        <w:t xml:space="preserve"> olduğundan</w:t>
      </w:r>
      <w:r w:rsidR="00AE078A" w:rsidRPr="003869AE">
        <w:rPr>
          <w:color w:val="000000" w:themeColor="text1"/>
        </w:rPr>
        <w:t>,</w:t>
      </w:r>
      <w:r w:rsidR="0056629F" w:rsidRPr="003869AE">
        <w:rPr>
          <w:color w:val="000000" w:themeColor="text1"/>
        </w:rPr>
        <w:t xml:space="preserve"> oksijen uygulanması, yaşamsal öneme sahiptir. Oral yolla alındığında mide ve bağırsakların boşaltılması ve ayrıca aktif kömür verilmesi gerekir.</w:t>
      </w:r>
    </w:p>
    <w:p w:rsidR="00B3261E" w:rsidRPr="003869AE" w:rsidRDefault="00B3261E" w:rsidP="009E579D">
      <w:pPr>
        <w:jc w:val="both"/>
        <w:rPr>
          <w:strike/>
          <w:color w:val="000000" w:themeColor="text1"/>
        </w:rPr>
      </w:pPr>
      <w:r w:rsidRPr="003869AE">
        <w:rPr>
          <w:strike/>
          <w:color w:val="000000" w:themeColor="text1"/>
        </w:rPr>
        <w:t xml:space="preserve"> </w:t>
      </w: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GIDALARDAKİ İLAÇ KALINTILARI HAKKINDA UYARILAR </w:t>
      </w:r>
    </w:p>
    <w:p w:rsidR="00CC50B4" w:rsidRPr="003869AE" w:rsidRDefault="00CC50B4" w:rsidP="00CC50B4">
      <w:pPr>
        <w:jc w:val="both"/>
        <w:rPr>
          <w:b/>
          <w:bCs/>
          <w:iCs/>
        </w:rPr>
      </w:pPr>
      <w:r w:rsidRPr="003869AE">
        <w:rPr>
          <w:b/>
          <w:bCs/>
          <w:iCs/>
          <w:color w:val="000000" w:themeColor="text1"/>
        </w:rPr>
        <w:t xml:space="preserve">İlaç kalıntı arınma süresi (i.k.a.s.): Tedavi süresince ve son ilaç uygulamasından sonra, et ve </w:t>
      </w:r>
      <w:r w:rsidRPr="003869AE">
        <w:rPr>
          <w:b/>
          <w:bCs/>
          <w:iCs/>
        </w:rPr>
        <w:t xml:space="preserve">sakatat için yetiştirilen sığırlar 56 gün boyunca kesime gönderilmemelidir. İnsan tüketimi için süt elde edilen sağmal sığırlarda </w:t>
      </w:r>
      <w:proofErr w:type="spellStart"/>
      <w:r w:rsidRPr="003869AE">
        <w:rPr>
          <w:b/>
          <w:bCs/>
          <w:iCs/>
        </w:rPr>
        <w:t>laktasyon</w:t>
      </w:r>
      <w:proofErr w:type="spellEnd"/>
      <w:r w:rsidRPr="003869AE">
        <w:rPr>
          <w:b/>
          <w:bCs/>
          <w:iCs/>
        </w:rPr>
        <w:t xml:space="preserve"> boyunca ve gebeliğin son üç ayında</w:t>
      </w:r>
      <w:r w:rsidR="003140B5" w:rsidRPr="003869AE">
        <w:rPr>
          <w:b/>
          <w:bCs/>
          <w:iCs/>
        </w:rPr>
        <w:t xml:space="preserve"> kullanılmaz.</w:t>
      </w:r>
      <w:r w:rsidRPr="003869AE">
        <w:rPr>
          <w:b/>
          <w:bCs/>
          <w:iCs/>
        </w:rPr>
        <w:t xml:space="preserve"> </w:t>
      </w:r>
    </w:p>
    <w:p w:rsidR="00CC50B4" w:rsidRPr="003869AE" w:rsidRDefault="00CC50B4" w:rsidP="009E579D">
      <w:pPr>
        <w:jc w:val="both"/>
        <w:rPr>
          <w:b/>
          <w:bCs/>
          <w:iCs/>
        </w:rPr>
      </w:pPr>
    </w:p>
    <w:p w:rsidR="00B3261E" w:rsidRPr="003869AE" w:rsidRDefault="00B3261E" w:rsidP="009E579D">
      <w:pPr>
        <w:jc w:val="both"/>
        <w:rPr>
          <w:b/>
        </w:rPr>
      </w:pPr>
      <w:r w:rsidRPr="003869AE">
        <w:rPr>
          <w:b/>
        </w:rPr>
        <w:t>KONTRENDİKASYONLAR</w:t>
      </w:r>
    </w:p>
    <w:p w:rsidR="00B3261E" w:rsidRPr="003869AE" w:rsidRDefault="00B3261E" w:rsidP="009E579D">
      <w:pPr>
        <w:jc w:val="both"/>
      </w:pPr>
      <w:proofErr w:type="spellStart"/>
      <w:r w:rsidRPr="003869AE">
        <w:t>Levamizol</w:t>
      </w:r>
      <w:proofErr w:type="spellEnd"/>
      <w:r w:rsidRPr="003869AE">
        <w:t xml:space="preserve"> ve </w:t>
      </w:r>
      <w:proofErr w:type="spellStart"/>
      <w:r w:rsidR="002D4F29" w:rsidRPr="003869AE">
        <w:t>t</w:t>
      </w:r>
      <w:r w:rsidRPr="003869AE">
        <w:t>riklabendazole</w:t>
      </w:r>
      <w:proofErr w:type="spellEnd"/>
      <w:r w:rsidRPr="003869AE">
        <w:t xml:space="preserve"> karşı hassas olduğu bilinen, karaciğer ve böbrek yetmezliği bulunan hayvanlara uygulanmamalıdır. </w:t>
      </w:r>
      <w:r w:rsidR="00AE078A" w:rsidRPr="003869AE">
        <w:t>Genç sütçü sığırlarda</w:t>
      </w:r>
      <w:r w:rsidR="00CD28B9" w:rsidRPr="003869AE">
        <w:t>,</w:t>
      </w:r>
      <w:r w:rsidR="0064412F" w:rsidRPr="003869AE">
        <w:t xml:space="preserve"> </w:t>
      </w:r>
      <w:r w:rsidRPr="003869AE">
        <w:t xml:space="preserve">yeni doğanlarda </w:t>
      </w:r>
      <w:r w:rsidRPr="003869AE">
        <w:lastRenderedPageBreak/>
        <w:t>kullanılmamalıdır.</w:t>
      </w:r>
      <w:r w:rsidR="004A6EA8" w:rsidRPr="003869AE">
        <w:t xml:space="preserve"> </w:t>
      </w:r>
      <w:proofErr w:type="spellStart"/>
      <w:r w:rsidRPr="003869AE">
        <w:t>Levamizol</w:t>
      </w:r>
      <w:proofErr w:type="spellEnd"/>
      <w:r w:rsidRPr="003869AE">
        <w:t xml:space="preserve"> uygulamasından 14 gün önce ve sonrasında, organik fosforlu </w:t>
      </w:r>
      <w:proofErr w:type="spellStart"/>
      <w:r w:rsidRPr="003869AE">
        <w:t>insektisitler</w:t>
      </w:r>
      <w:proofErr w:type="spellEnd"/>
      <w:r w:rsidRPr="003869AE">
        <w:t xml:space="preserve"> uygulanmamalıdır. </w:t>
      </w:r>
      <w:r w:rsidR="00AE078A" w:rsidRPr="003869AE">
        <w:t>Hedef tür dışında kullanılmamalıdır.</w:t>
      </w:r>
    </w:p>
    <w:p w:rsidR="00D9092C" w:rsidRPr="003869AE" w:rsidRDefault="00D9092C" w:rsidP="00D9092C">
      <w:pPr>
        <w:jc w:val="both"/>
      </w:pPr>
      <w:r w:rsidRPr="003869AE">
        <w:t xml:space="preserve">Keçilerin, </w:t>
      </w:r>
      <w:proofErr w:type="spellStart"/>
      <w:r w:rsidRPr="003869AE">
        <w:t>levamizole</w:t>
      </w:r>
      <w:proofErr w:type="spellEnd"/>
      <w:r w:rsidRPr="003869AE">
        <w:t xml:space="preserve"> karşı ırk ve sürü duyarlılığı bulunması yüzünden, normal dozlarda dahi zehirlenme hatta ölüm gözlenebilir. Atlarda 20 mg/kg </w:t>
      </w:r>
      <w:proofErr w:type="spellStart"/>
      <w:r w:rsidRPr="003869AE">
        <w:t>levamizol</w:t>
      </w:r>
      <w:proofErr w:type="spellEnd"/>
      <w:r w:rsidRPr="003869AE">
        <w:t xml:space="preserve"> dozunda dahi ölüme yol açabilir. Kedi ve köpekler için ölüme neden olabilecek şekilde zehirlidir.</w:t>
      </w:r>
    </w:p>
    <w:p w:rsidR="00827629" w:rsidRPr="003869AE" w:rsidRDefault="00B3261E" w:rsidP="00E570E2">
      <w:pPr>
        <w:jc w:val="both"/>
      </w:pPr>
      <w:r w:rsidRPr="003869AE">
        <w:rPr>
          <w:b/>
        </w:rPr>
        <w:t xml:space="preserve">Gebelikte </w:t>
      </w:r>
      <w:r w:rsidR="00704A27" w:rsidRPr="003869AE">
        <w:rPr>
          <w:b/>
        </w:rPr>
        <w:t xml:space="preserve">ve </w:t>
      </w:r>
      <w:proofErr w:type="spellStart"/>
      <w:r w:rsidR="00704A27" w:rsidRPr="003869AE">
        <w:rPr>
          <w:b/>
        </w:rPr>
        <w:t>Laktasyonda</w:t>
      </w:r>
      <w:proofErr w:type="spellEnd"/>
      <w:r w:rsidR="00704A27" w:rsidRPr="003869AE">
        <w:rPr>
          <w:b/>
        </w:rPr>
        <w:t xml:space="preserve"> </w:t>
      </w:r>
      <w:r w:rsidRPr="003869AE">
        <w:rPr>
          <w:b/>
        </w:rPr>
        <w:t xml:space="preserve">kullanım: </w:t>
      </w:r>
      <w:r w:rsidR="00E570E2" w:rsidRPr="003869AE">
        <w:t xml:space="preserve">Gebelik ve </w:t>
      </w:r>
      <w:proofErr w:type="spellStart"/>
      <w:r w:rsidR="00E570E2" w:rsidRPr="003869AE">
        <w:t>laktasyon</w:t>
      </w:r>
      <w:proofErr w:type="spellEnd"/>
      <w:r w:rsidR="00E570E2" w:rsidRPr="003869AE">
        <w:t xml:space="preserve"> dönemlerinde kullanımı güvenlidir. İnsan tüketimi için süt elde edilen</w:t>
      </w:r>
      <w:r w:rsidR="00827629" w:rsidRPr="003869AE">
        <w:t xml:space="preserve"> hayvanlarda gebeliğin son üç aylık döneminde kullanılmamalıdır.</w:t>
      </w:r>
    </w:p>
    <w:p w:rsidR="00AE078A" w:rsidRPr="003869AE" w:rsidRDefault="00AE078A" w:rsidP="009E579D">
      <w:pPr>
        <w:jc w:val="both"/>
      </w:pPr>
      <w:r w:rsidRPr="003869AE">
        <w:t xml:space="preserve">  </w:t>
      </w: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GENEL UYARILAR </w:t>
      </w:r>
    </w:p>
    <w:p w:rsidR="00B3261E" w:rsidRPr="003869AE" w:rsidRDefault="00B3261E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>Kullanmadan önce ve beklenmeyen bir etki görüldüğünde veteriner hekime danışınız. Çocukların ulaşamayacağı yerlerde bulundurunuz.</w:t>
      </w:r>
    </w:p>
    <w:p w:rsidR="003732F8" w:rsidRPr="003869AE" w:rsidRDefault="003732F8" w:rsidP="009E579D">
      <w:pPr>
        <w:jc w:val="both"/>
        <w:rPr>
          <w:b/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UYGULAYICININ ALMASI GEREKEN ÖNLEMLER VE HEKİMLER İÇİN UYARILAR </w:t>
      </w:r>
    </w:p>
    <w:p w:rsidR="00D9431D" w:rsidRPr="003869AE" w:rsidRDefault="00D9431D" w:rsidP="00D9431D">
      <w:pPr>
        <w:jc w:val="both"/>
        <w:rPr>
          <w:color w:val="000000" w:themeColor="text1"/>
          <w:lang w:val="fr-FR"/>
        </w:rPr>
      </w:pPr>
      <w:proofErr w:type="spellStart"/>
      <w:r w:rsidRPr="003869AE">
        <w:rPr>
          <w:color w:val="000000" w:themeColor="text1"/>
          <w:lang w:val="fr-FR"/>
        </w:rPr>
        <w:t>Uygulama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sırasında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bir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şey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yenip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içilmemeli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sigara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kullanılmamalıdır</w:t>
      </w:r>
      <w:proofErr w:type="spellEnd"/>
      <w:r w:rsidRPr="003869AE">
        <w:rPr>
          <w:color w:val="000000" w:themeColor="text1"/>
          <w:lang w:val="fr-FR"/>
        </w:rPr>
        <w:t xml:space="preserve">. </w:t>
      </w:r>
      <w:proofErr w:type="spellStart"/>
      <w:r w:rsidRPr="003869AE">
        <w:rPr>
          <w:color w:val="000000" w:themeColor="text1"/>
          <w:lang w:val="fr-FR"/>
        </w:rPr>
        <w:t>Bulaşma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durumunda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göz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ve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derinin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hemen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yıkanması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ve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giysilerin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çıkarılması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gerekir</w:t>
      </w:r>
      <w:proofErr w:type="spellEnd"/>
      <w:r w:rsidRPr="003869AE">
        <w:rPr>
          <w:color w:val="000000" w:themeColor="text1"/>
          <w:lang w:val="fr-FR"/>
        </w:rPr>
        <w:t xml:space="preserve">. </w:t>
      </w:r>
      <w:proofErr w:type="spellStart"/>
      <w:r w:rsidRPr="003869AE">
        <w:rPr>
          <w:color w:val="000000" w:themeColor="text1"/>
          <w:lang w:val="fr-FR"/>
        </w:rPr>
        <w:t>Seyrek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gözlenmekle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birlikte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ürünün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uygulanması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sırasında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veya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kısa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bir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süre</w:t>
      </w:r>
      <w:proofErr w:type="spellEnd"/>
      <w:r w:rsidRPr="003869AE">
        <w:rPr>
          <w:color w:val="000000" w:themeColor="text1"/>
          <w:lang w:val="fr-FR"/>
        </w:rPr>
        <w:t xml:space="preserve"> sonra </w:t>
      </w:r>
      <w:proofErr w:type="spellStart"/>
      <w:r w:rsidRPr="003869AE">
        <w:rPr>
          <w:color w:val="000000" w:themeColor="text1"/>
          <w:lang w:val="fr-FR"/>
        </w:rPr>
        <w:t>levamizol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insanlarda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idiyosinkratik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reaksiyonlara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ve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ciddi</w:t>
      </w:r>
      <w:proofErr w:type="spellEnd"/>
      <w:r w:rsidRPr="003869AE">
        <w:rPr>
          <w:color w:val="000000" w:themeColor="text1"/>
          <w:lang w:val="fr-FR"/>
        </w:rPr>
        <w:t xml:space="preserve"> kan </w:t>
      </w:r>
      <w:proofErr w:type="spellStart"/>
      <w:r w:rsidRPr="003869AE">
        <w:rPr>
          <w:color w:val="000000" w:themeColor="text1"/>
          <w:lang w:val="fr-FR"/>
        </w:rPr>
        <w:t>hastalıklarına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neden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olabilir</w:t>
      </w:r>
      <w:proofErr w:type="spellEnd"/>
      <w:r w:rsidRPr="003869AE">
        <w:rPr>
          <w:color w:val="000000" w:themeColor="text1"/>
          <w:lang w:val="fr-FR"/>
        </w:rPr>
        <w:t xml:space="preserve">. </w:t>
      </w:r>
      <w:proofErr w:type="spellStart"/>
      <w:r w:rsidRPr="003869AE">
        <w:rPr>
          <w:color w:val="000000" w:themeColor="text1"/>
          <w:lang w:val="fr-FR"/>
        </w:rPr>
        <w:t>Baş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dönmesi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mide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bulantısı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kusma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karın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ağrısı</w:t>
      </w:r>
      <w:proofErr w:type="spellEnd"/>
      <w:r w:rsidRPr="003869AE">
        <w:rPr>
          <w:color w:val="000000" w:themeColor="text1"/>
          <w:lang w:val="fr-FR"/>
        </w:rPr>
        <w:t xml:space="preserve">, </w:t>
      </w:r>
      <w:proofErr w:type="spellStart"/>
      <w:r w:rsidRPr="003869AE">
        <w:rPr>
          <w:color w:val="000000" w:themeColor="text1"/>
          <w:lang w:val="fr-FR"/>
        </w:rPr>
        <w:t>ağız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ve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boğaz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ağrısı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veya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ateş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gözlendiğinde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derhal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tıbbi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yardım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alınması</w:t>
      </w:r>
      <w:proofErr w:type="spellEnd"/>
      <w:r w:rsidRPr="003869AE">
        <w:rPr>
          <w:color w:val="000000" w:themeColor="text1"/>
          <w:lang w:val="fr-FR"/>
        </w:rPr>
        <w:t xml:space="preserve"> </w:t>
      </w:r>
      <w:proofErr w:type="spellStart"/>
      <w:r w:rsidRPr="003869AE">
        <w:rPr>
          <w:color w:val="000000" w:themeColor="text1"/>
          <w:lang w:val="fr-FR"/>
        </w:rPr>
        <w:t>gerekir</w:t>
      </w:r>
      <w:proofErr w:type="spellEnd"/>
      <w:r w:rsidRPr="003869AE">
        <w:rPr>
          <w:color w:val="000000" w:themeColor="text1"/>
          <w:lang w:val="fr-FR"/>
        </w:rPr>
        <w:t>.</w:t>
      </w:r>
    </w:p>
    <w:p w:rsidR="00D9431D" w:rsidRPr="003869AE" w:rsidRDefault="00D9431D" w:rsidP="009E579D">
      <w:pPr>
        <w:jc w:val="both"/>
        <w:rPr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MUHAFAZA ŞARTLARI VE RAF ÖMRÜ  </w:t>
      </w:r>
    </w:p>
    <w:p w:rsidR="00BE6FFA" w:rsidRPr="003869AE" w:rsidRDefault="00EF44EC" w:rsidP="00BE6FFA">
      <w:pPr>
        <w:jc w:val="both"/>
        <w:rPr>
          <w:bCs/>
          <w:color w:val="000000" w:themeColor="text1"/>
        </w:rPr>
      </w:pPr>
      <w:r w:rsidRPr="003869AE">
        <w:rPr>
          <w:bCs/>
          <w:color w:val="000000" w:themeColor="text1"/>
        </w:rPr>
        <w:t>25°</w:t>
      </w:r>
      <w:proofErr w:type="spellStart"/>
      <w:r w:rsidRPr="003869AE">
        <w:rPr>
          <w:bCs/>
          <w:color w:val="000000" w:themeColor="text1"/>
        </w:rPr>
        <w:t>C’nin</w:t>
      </w:r>
      <w:proofErr w:type="spellEnd"/>
      <w:r w:rsidRPr="003869AE">
        <w:rPr>
          <w:bCs/>
          <w:color w:val="000000" w:themeColor="text1"/>
        </w:rPr>
        <w:t xml:space="preserve"> altındaki oda sıcaklığında, güneş ışığından uzakta, buzdolabına konulmadan ve donmaktan koruyarak orijinal ambalajında saklandığında raf ömrü imal tarihinden itibaren 36 aydır.</w:t>
      </w:r>
      <w:r w:rsidR="00BE6FFA" w:rsidRPr="003869AE">
        <w:rPr>
          <w:color w:val="FF0000"/>
        </w:rPr>
        <w:t xml:space="preserve"> </w:t>
      </w:r>
      <w:r w:rsidR="00BE6FFA" w:rsidRPr="003869AE">
        <w:rPr>
          <w:bCs/>
          <w:color w:val="000000" w:themeColor="text1"/>
        </w:rPr>
        <w:t xml:space="preserve">Yarım kalan tabletler 7 gün içerisinde kullanılmalıdır. </w:t>
      </w:r>
    </w:p>
    <w:p w:rsidR="00D7753E" w:rsidRPr="003869AE" w:rsidRDefault="00D7753E" w:rsidP="009E579D">
      <w:pPr>
        <w:jc w:val="both"/>
        <w:rPr>
          <w:b/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>KULLANIM SONU İMHA ve HEDEF OLMAYAN TÜRLER İÇİN UYARILAR</w:t>
      </w:r>
    </w:p>
    <w:p w:rsidR="00E13B76" w:rsidRPr="003869AE" w:rsidRDefault="00E13B76" w:rsidP="00E13B76">
      <w:pPr>
        <w:jc w:val="both"/>
        <w:rPr>
          <w:bCs/>
          <w:iCs/>
          <w:noProof/>
          <w:color w:val="000000" w:themeColor="text1"/>
        </w:rPr>
      </w:pPr>
      <w:r w:rsidRPr="003869AE">
        <w:rPr>
          <w:bCs/>
          <w:iCs/>
          <w:noProof/>
          <w:color w:val="000000" w:themeColor="text1"/>
        </w:rPr>
        <w:t>Kullanılmamış veteriner tıbbi ürün veya bu üründen arta kalan atılacak materyalleri, yerel yasaların gerekliliklerine göre imha edilmelidir.</w:t>
      </w:r>
    </w:p>
    <w:p w:rsidR="00EF44EC" w:rsidRPr="003869AE" w:rsidRDefault="00EF44EC" w:rsidP="00EF44EC">
      <w:pPr>
        <w:jc w:val="both"/>
      </w:pPr>
      <w:r w:rsidRPr="003869AE">
        <w:t xml:space="preserve">İçeriğindeki </w:t>
      </w:r>
      <w:proofErr w:type="spellStart"/>
      <w:r w:rsidRPr="003869AE">
        <w:t>triklabendazol</w:t>
      </w:r>
      <w:proofErr w:type="spellEnd"/>
      <w:r w:rsidRPr="003869AE">
        <w:t xml:space="preserve">, balıklar ve suda yaşayan canlılar için </w:t>
      </w:r>
      <w:proofErr w:type="spellStart"/>
      <w:r w:rsidRPr="003869AE">
        <w:t>toksik</w:t>
      </w:r>
      <w:proofErr w:type="spellEnd"/>
      <w:r w:rsidRPr="003869AE">
        <w:t xml:space="preserve"> etki gösterdiğinden, su kaynaklarına karışmamasına dikkat edilmelidir.</w:t>
      </w:r>
    </w:p>
    <w:p w:rsidR="00D9092C" w:rsidRPr="003869AE" w:rsidRDefault="00D9092C" w:rsidP="00EF44EC">
      <w:pPr>
        <w:jc w:val="both"/>
      </w:pPr>
      <w:r w:rsidRPr="003869AE">
        <w:t xml:space="preserve">Ürüne ait aktif madde ve </w:t>
      </w:r>
      <w:proofErr w:type="spellStart"/>
      <w:r w:rsidRPr="003869AE">
        <w:t>metabolitlerin</w:t>
      </w:r>
      <w:proofErr w:type="spellEnd"/>
      <w:r w:rsidRPr="003869AE">
        <w:t xml:space="preserve"> 10 gün boyunca dışkı ve idrar ile atıldığı dikkate alınmalıdır.</w:t>
      </w:r>
    </w:p>
    <w:p w:rsidR="00EF44EC" w:rsidRPr="003869AE" w:rsidRDefault="00EF44EC" w:rsidP="009E579D">
      <w:pPr>
        <w:jc w:val="both"/>
        <w:rPr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bCs/>
          <w:iCs/>
          <w:color w:val="000000" w:themeColor="text1"/>
        </w:rPr>
        <w:t>TİCARİ TAKDİM</w:t>
      </w:r>
      <w:r w:rsidRPr="003869AE">
        <w:rPr>
          <w:b/>
          <w:color w:val="000000" w:themeColor="text1"/>
        </w:rPr>
        <w:t xml:space="preserve"> ŞEKLİ  </w:t>
      </w:r>
    </w:p>
    <w:p w:rsidR="004A0168" w:rsidRPr="003869AE" w:rsidRDefault="00EF44EC" w:rsidP="004A0168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Şeffaf </w:t>
      </w:r>
      <w:r w:rsidR="004A0168" w:rsidRPr="003869AE">
        <w:rPr>
          <w:color w:val="000000" w:themeColor="text1"/>
        </w:rPr>
        <w:t>renkli PVC folyo ve gri renkli bir yüzeyi baskılı alüminyum folyodan oluşan</w:t>
      </w:r>
      <w:r w:rsidR="004A6EA8" w:rsidRPr="003869AE">
        <w:rPr>
          <w:color w:val="000000" w:themeColor="text1"/>
        </w:rPr>
        <w:t xml:space="preserve"> </w:t>
      </w:r>
      <w:proofErr w:type="spellStart"/>
      <w:r w:rsidR="004A6EA8" w:rsidRPr="003869AE">
        <w:rPr>
          <w:color w:val="000000" w:themeColor="text1"/>
        </w:rPr>
        <w:t>blisterler</w:t>
      </w:r>
      <w:proofErr w:type="spellEnd"/>
      <w:r w:rsidR="004A6EA8" w:rsidRPr="003869AE">
        <w:rPr>
          <w:color w:val="000000" w:themeColor="text1"/>
        </w:rPr>
        <w:t xml:space="preserve"> kullanılmıştır. </w:t>
      </w:r>
      <w:r w:rsidR="004A0168" w:rsidRPr="003869AE">
        <w:rPr>
          <w:color w:val="000000" w:themeColor="text1"/>
        </w:rPr>
        <w:t xml:space="preserve">10 tablet </w:t>
      </w:r>
      <w:r w:rsidR="004A6EA8" w:rsidRPr="003869AE">
        <w:rPr>
          <w:color w:val="000000" w:themeColor="text1"/>
        </w:rPr>
        <w:t xml:space="preserve">içeren </w:t>
      </w:r>
      <w:r w:rsidR="009E004F" w:rsidRPr="003869AE">
        <w:rPr>
          <w:color w:val="000000" w:themeColor="text1"/>
        </w:rPr>
        <w:t>bir a</w:t>
      </w:r>
      <w:r w:rsidR="00181C49" w:rsidRPr="003869AE">
        <w:rPr>
          <w:color w:val="000000" w:themeColor="text1"/>
        </w:rPr>
        <w:t xml:space="preserve">det </w:t>
      </w:r>
      <w:proofErr w:type="spellStart"/>
      <w:r w:rsidR="00181C49" w:rsidRPr="003869AE">
        <w:rPr>
          <w:color w:val="000000" w:themeColor="text1"/>
        </w:rPr>
        <w:t>blister</w:t>
      </w:r>
      <w:proofErr w:type="spellEnd"/>
      <w:r w:rsidR="00181C49" w:rsidRPr="003869AE">
        <w:rPr>
          <w:color w:val="000000" w:themeColor="text1"/>
        </w:rPr>
        <w:t>,</w:t>
      </w:r>
      <w:r w:rsidR="004A6EA8" w:rsidRPr="003869AE">
        <w:rPr>
          <w:color w:val="000000" w:themeColor="text1"/>
        </w:rPr>
        <w:t xml:space="preserve"> </w:t>
      </w:r>
      <w:r w:rsidR="004A0168" w:rsidRPr="003869AE">
        <w:rPr>
          <w:color w:val="000000" w:themeColor="text1"/>
        </w:rPr>
        <w:t xml:space="preserve">karton kutu </w:t>
      </w:r>
      <w:r w:rsidR="004A6EA8" w:rsidRPr="003869AE">
        <w:rPr>
          <w:color w:val="000000" w:themeColor="text1"/>
        </w:rPr>
        <w:t xml:space="preserve">içerisinde </w:t>
      </w:r>
      <w:proofErr w:type="gramStart"/>
      <w:r w:rsidR="004A6EA8" w:rsidRPr="003869AE">
        <w:rPr>
          <w:color w:val="000000" w:themeColor="text1"/>
        </w:rPr>
        <w:t>prospektüs</w:t>
      </w:r>
      <w:proofErr w:type="gramEnd"/>
      <w:r w:rsidR="004A6EA8" w:rsidRPr="003869AE">
        <w:rPr>
          <w:color w:val="000000" w:themeColor="text1"/>
        </w:rPr>
        <w:t xml:space="preserve"> ile birlikte</w:t>
      </w:r>
      <w:r w:rsidR="004A0168" w:rsidRPr="003869AE">
        <w:rPr>
          <w:color w:val="000000" w:themeColor="text1"/>
        </w:rPr>
        <w:t xml:space="preserve"> satışa sunulmuştur.</w:t>
      </w:r>
    </w:p>
    <w:p w:rsidR="003732F8" w:rsidRPr="003869AE" w:rsidRDefault="003732F8" w:rsidP="009E579D">
      <w:pPr>
        <w:jc w:val="both"/>
        <w:rPr>
          <w:b/>
          <w:bCs/>
          <w:iCs/>
          <w:color w:val="000000" w:themeColor="text1"/>
        </w:rPr>
      </w:pPr>
    </w:p>
    <w:p w:rsidR="00B3261E" w:rsidRPr="003869AE" w:rsidRDefault="00B3261E" w:rsidP="009E579D">
      <w:pPr>
        <w:jc w:val="both"/>
        <w:rPr>
          <w:b/>
          <w:bCs/>
          <w:iCs/>
          <w:color w:val="000000" w:themeColor="text1"/>
        </w:rPr>
      </w:pPr>
      <w:r w:rsidRPr="003869AE">
        <w:rPr>
          <w:b/>
          <w:bCs/>
          <w:iCs/>
          <w:color w:val="000000" w:themeColor="text1"/>
        </w:rPr>
        <w:t xml:space="preserve">SATIŞ YERİ VE ŞARTLARI </w:t>
      </w:r>
    </w:p>
    <w:p w:rsidR="00B3261E" w:rsidRPr="003869AE" w:rsidRDefault="005F0B5E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 xml:space="preserve">Veteriner hekim </w:t>
      </w:r>
      <w:r w:rsidR="00B3261E" w:rsidRPr="003869AE">
        <w:rPr>
          <w:color w:val="000000" w:themeColor="text1"/>
        </w:rPr>
        <w:t>reçetesi ile eczanelerde ve veteriner muayenehanelerinde satılır. (VHR)</w:t>
      </w: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>PROSPEKTÜSÜN ONAY TARİHİ:</w:t>
      </w:r>
      <w:r w:rsidR="00A206C7" w:rsidRPr="003869AE">
        <w:rPr>
          <w:b/>
          <w:color w:val="000000" w:themeColor="text1"/>
        </w:rPr>
        <w:t xml:space="preserve"> </w:t>
      </w:r>
      <w:r w:rsidR="00BE6D53" w:rsidRPr="003869AE">
        <w:rPr>
          <w:b/>
          <w:color w:val="000000" w:themeColor="text1"/>
        </w:rPr>
        <w:t>26.03.2019</w:t>
      </w:r>
    </w:p>
    <w:p w:rsidR="00B3261E" w:rsidRPr="003869AE" w:rsidRDefault="00B3261E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TARIM VE </w:t>
      </w:r>
      <w:r w:rsidR="0010404F" w:rsidRPr="003869AE">
        <w:rPr>
          <w:b/>
          <w:color w:val="000000" w:themeColor="text1"/>
        </w:rPr>
        <w:t xml:space="preserve">ORMAN </w:t>
      </w:r>
      <w:r w:rsidRPr="003869AE">
        <w:rPr>
          <w:b/>
          <w:color w:val="000000" w:themeColor="text1"/>
        </w:rPr>
        <w:t xml:space="preserve">BAKANLIĞI </w:t>
      </w:r>
      <w:r w:rsidR="00076A08" w:rsidRPr="003869AE">
        <w:rPr>
          <w:b/>
          <w:color w:val="000000" w:themeColor="text1"/>
        </w:rPr>
        <w:t>PAZARLAMA İZİN</w:t>
      </w:r>
      <w:r w:rsidRPr="003869AE">
        <w:rPr>
          <w:b/>
          <w:color w:val="000000" w:themeColor="text1"/>
        </w:rPr>
        <w:t xml:space="preserve"> TARİH VE NO:</w:t>
      </w:r>
      <w:r w:rsidR="00A206C7" w:rsidRPr="003869AE">
        <w:rPr>
          <w:b/>
          <w:color w:val="000000" w:themeColor="text1"/>
        </w:rPr>
        <w:t xml:space="preserve"> </w:t>
      </w:r>
      <w:r w:rsidRPr="003869AE">
        <w:rPr>
          <w:b/>
          <w:color w:val="000000" w:themeColor="text1"/>
        </w:rPr>
        <w:t>27.07.2005/14-089</w:t>
      </w:r>
    </w:p>
    <w:p w:rsidR="00B3261E" w:rsidRPr="003869AE" w:rsidRDefault="00076A08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 xml:space="preserve">PAZARLAMA İZİN </w:t>
      </w:r>
      <w:r w:rsidR="00B3261E" w:rsidRPr="003869AE">
        <w:rPr>
          <w:b/>
          <w:color w:val="000000" w:themeColor="text1"/>
        </w:rPr>
        <w:t xml:space="preserve">SAHİBİNİN ADI VE ADRESİ </w:t>
      </w:r>
    </w:p>
    <w:p w:rsidR="00CD28B9" w:rsidRPr="003869AE" w:rsidRDefault="003732F8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>DEVA Holding A.Ş.</w:t>
      </w:r>
      <w:r w:rsidR="00B3261E" w:rsidRPr="003869AE">
        <w:rPr>
          <w:color w:val="000000" w:themeColor="text1"/>
        </w:rPr>
        <w:t xml:space="preserve"> Halkalı Merkez Mahallesi Basın Ekspres Cad. No:1 Küçükçekmece/İstanbul    </w:t>
      </w:r>
      <w:r w:rsidR="00D562F7" w:rsidRPr="003869AE">
        <w:rPr>
          <w:bCs/>
          <w:color w:val="000000" w:themeColor="text1"/>
        </w:rPr>
        <w:t xml:space="preserve">Tel: 0 212 692 92 </w:t>
      </w:r>
      <w:proofErr w:type="spellStart"/>
      <w:r w:rsidR="00D562F7" w:rsidRPr="003869AE">
        <w:rPr>
          <w:bCs/>
          <w:color w:val="000000" w:themeColor="text1"/>
        </w:rPr>
        <w:t>92</w:t>
      </w:r>
      <w:proofErr w:type="spellEnd"/>
      <w:r w:rsidR="00B3261E" w:rsidRPr="003869AE">
        <w:rPr>
          <w:bCs/>
          <w:color w:val="000000" w:themeColor="text1"/>
        </w:rPr>
        <w:t xml:space="preserve"> Faks: 0 212 697 </w:t>
      </w:r>
      <w:r w:rsidR="00C87BC2" w:rsidRPr="003869AE">
        <w:rPr>
          <w:bCs/>
          <w:color w:val="000000" w:themeColor="text1"/>
        </w:rPr>
        <w:t>34 89</w:t>
      </w:r>
      <w:r w:rsidR="00B3261E" w:rsidRPr="003869AE">
        <w:rPr>
          <w:bCs/>
          <w:color w:val="000000" w:themeColor="text1"/>
        </w:rPr>
        <w:t xml:space="preserve"> </w:t>
      </w:r>
      <w:r w:rsidR="00CD28B9" w:rsidRPr="003869AE">
        <w:rPr>
          <w:bCs/>
          <w:color w:val="000000" w:themeColor="text1"/>
        </w:rPr>
        <w:t>vetas@vetas.com.tr</w:t>
      </w:r>
    </w:p>
    <w:p w:rsidR="00B3261E" w:rsidRPr="003869AE" w:rsidRDefault="00076A08" w:rsidP="009E579D">
      <w:pPr>
        <w:jc w:val="both"/>
        <w:rPr>
          <w:b/>
          <w:color w:val="000000" w:themeColor="text1"/>
        </w:rPr>
      </w:pPr>
      <w:r w:rsidRPr="003869AE">
        <w:rPr>
          <w:b/>
          <w:color w:val="000000" w:themeColor="text1"/>
        </w:rPr>
        <w:t>ÜRETİM YERİNİN</w:t>
      </w:r>
      <w:r w:rsidR="00B3261E" w:rsidRPr="003869AE">
        <w:rPr>
          <w:b/>
          <w:color w:val="000000" w:themeColor="text1"/>
        </w:rPr>
        <w:t xml:space="preserve"> ADI VE ADRESİ </w:t>
      </w:r>
    </w:p>
    <w:p w:rsidR="00B3261E" w:rsidRPr="003869AE" w:rsidRDefault="00B03CD7" w:rsidP="009E579D">
      <w:pPr>
        <w:jc w:val="both"/>
        <w:rPr>
          <w:color w:val="000000" w:themeColor="text1"/>
        </w:rPr>
      </w:pPr>
      <w:r w:rsidRPr="003869AE">
        <w:rPr>
          <w:color w:val="000000" w:themeColor="text1"/>
        </w:rPr>
        <w:t>DEVA</w:t>
      </w:r>
      <w:r w:rsidR="009B2C41" w:rsidRPr="003869AE">
        <w:rPr>
          <w:color w:val="000000" w:themeColor="text1"/>
        </w:rPr>
        <w:t xml:space="preserve"> HOLDİNG A.Ş. Çerkezköy Organize Sanayi Bölgesi, Karaağaç Mah. Fatih Bulvarı No.26 Kapaklı/ Tekirdağ </w:t>
      </w:r>
      <w:r w:rsidR="00CD28B9" w:rsidRPr="003869AE">
        <w:rPr>
          <w:color w:val="000000" w:themeColor="text1"/>
        </w:rPr>
        <w:t>Tel: 0282 758 17 71 Faks: 0282 758 17 70</w:t>
      </w:r>
    </w:p>
    <w:sectPr w:rsidR="00B3261E" w:rsidRPr="003869AE" w:rsidSect="003732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68" w:rsidRDefault="00D94B68" w:rsidP="004957F8">
      <w:r>
        <w:separator/>
      </w:r>
    </w:p>
  </w:endnote>
  <w:endnote w:type="continuationSeparator" w:id="0">
    <w:p w:rsidR="00D94B68" w:rsidRDefault="00D94B68" w:rsidP="0049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95" w:rsidRDefault="00F05F95">
    <w:pPr>
      <w:pStyle w:val="Altbilgi"/>
      <w:jc w:val="right"/>
    </w:pPr>
  </w:p>
  <w:p w:rsidR="00F05F95" w:rsidRDefault="00F05F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68" w:rsidRDefault="00D94B68" w:rsidP="004957F8">
      <w:r>
        <w:separator/>
      </w:r>
    </w:p>
  </w:footnote>
  <w:footnote w:type="continuationSeparator" w:id="0">
    <w:p w:rsidR="00D94B68" w:rsidRDefault="00D94B68" w:rsidP="00495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8F4"/>
    <w:multiLevelType w:val="hybridMultilevel"/>
    <w:tmpl w:val="F6F25E72"/>
    <w:lvl w:ilvl="0" w:tplc="E63640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084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AC"/>
    <w:rsid w:val="000618EC"/>
    <w:rsid w:val="00076A08"/>
    <w:rsid w:val="00077F8D"/>
    <w:rsid w:val="00085F82"/>
    <w:rsid w:val="00097D55"/>
    <w:rsid w:val="000F3267"/>
    <w:rsid w:val="0010404F"/>
    <w:rsid w:val="001771D0"/>
    <w:rsid w:val="00181C49"/>
    <w:rsid w:val="00182643"/>
    <w:rsid w:val="001A244D"/>
    <w:rsid w:val="001F59E5"/>
    <w:rsid w:val="00211060"/>
    <w:rsid w:val="00216F12"/>
    <w:rsid w:val="002C7B13"/>
    <w:rsid w:val="002D1254"/>
    <w:rsid w:val="002D3163"/>
    <w:rsid w:val="002D4F29"/>
    <w:rsid w:val="002E50C1"/>
    <w:rsid w:val="002F3E52"/>
    <w:rsid w:val="00305FB9"/>
    <w:rsid w:val="003140B5"/>
    <w:rsid w:val="0032088C"/>
    <w:rsid w:val="003732F8"/>
    <w:rsid w:val="003732FD"/>
    <w:rsid w:val="003869AE"/>
    <w:rsid w:val="003B7F22"/>
    <w:rsid w:val="00456EA1"/>
    <w:rsid w:val="004605F7"/>
    <w:rsid w:val="004736C5"/>
    <w:rsid w:val="004941AB"/>
    <w:rsid w:val="004957F8"/>
    <w:rsid w:val="004A0168"/>
    <w:rsid w:val="004A6EA8"/>
    <w:rsid w:val="004B0C20"/>
    <w:rsid w:val="004D27B5"/>
    <w:rsid w:val="0050138A"/>
    <w:rsid w:val="005554DB"/>
    <w:rsid w:val="00555E5F"/>
    <w:rsid w:val="0056629F"/>
    <w:rsid w:val="005F0B5E"/>
    <w:rsid w:val="005F0D3B"/>
    <w:rsid w:val="00643D92"/>
    <w:rsid w:val="0064412F"/>
    <w:rsid w:val="006C5B41"/>
    <w:rsid w:val="00704A27"/>
    <w:rsid w:val="00735773"/>
    <w:rsid w:val="007366A7"/>
    <w:rsid w:val="00760E0A"/>
    <w:rsid w:val="007B0FA2"/>
    <w:rsid w:val="00812DCB"/>
    <w:rsid w:val="0081737A"/>
    <w:rsid w:val="00817610"/>
    <w:rsid w:val="00827629"/>
    <w:rsid w:val="00834B73"/>
    <w:rsid w:val="00847651"/>
    <w:rsid w:val="00855AB1"/>
    <w:rsid w:val="008B300F"/>
    <w:rsid w:val="008F5849"/>
    <w:rsid w:val="009008AD"/>
    <w:rsid w:val="00960E6B"/>
    <w:rsid w:val="0097344E"/>
    <w:rsid w:val="00987472"/>
    <w:rsid w:val="009968BB"/>
    <w:rsid w:val="009A79FB"/>
    <w:rsid w:val="009B2C41"/>
    <w:rsid w:val="009C61DE"/>
    <w:rsid w:val="009D1CEF"/>
    <w:rsid w:val="009E004F"/>
    <w:rsid w:val="009E579D"/>
    <w:rsid w:val="009F6D4A"/>
    <w:rsid w:val="00A206C7"/>
    <w:rsid w:val="00A20CC4"/>
    <w:rsid w:val="00A22071"/>
    <w:rsid w:val="00A42BFD"/>
    <w:rsid w:val="00A45ADD"/>
    <w:rsid w:val="00A813FB"/>
    <w:rsid w:val="00AB031D"/>
    <w:rsid w:val="00AE078A"/>
    <w:rsid w:val="00AF60AC"/>
    <w:rsid w:val="00B03CD7"/>
    <w:rsid w:val="00B2253A"/>
    <w:rsid w:val="00B3261E"/>
    <w:rsid w:val="00B80A87"/>
    <w:rsid w:val="00BE6D53"/>
    <w:rsid w:val="00BE6FFA"/>
    <w:rsid w:val="00C83289"/>
    <w:rsid w:val="00C87BC2"/>
    <w:rsid w:val="00CC50B4"/>
    <w:rsid w:val="00CD28B9"/>
    <w:rsid w:val="00CE2959"/>
    <w:rsid w:val="00D0359C"/>
    <w:rsid w:val="00D213DB"/>
    <w:rsid w:val="00D22BE7"/>
    <w:rsid w:val="00D22C82"/>
    <w:rsid w:val="00D25A71"/>
    <w:rsid w:val="00D36600"/>
    <w:rsid w:val="00D479A5"/>
    <w:rsid w:val="00D562F7"/>
    <w:rsid w:val="00D72E42"/>
    <w:rsid w:val="00D7753E"/>
    <w:rsid w:val="00D9092C"/>
    <w:rsid w:val="00D9431D"/>
    <w:rsid w:val="00D94B68"/>
    <w:rsid w:val="00DB7F23"/>
    <w:rsid w:val="00DD7406"/>
    <w:rsid w:val="00DE755B"/>
    <w:rsid w:val="00E02EFD"/>
    <w:rsid w:val="00E13B76"/>
    <w:rsid w:val="00E441C4"/>
    <w:rsid w:val="00E45076"/>
    <w:rsid w:val="00E570E2"/>
    <w:rsid w:val="00E93B48"/>
    <w:rsid w:val="00EB71B5"/>
    <w:rsid w:val="00EF3614"/>
    <w:rsid w:val="00EF44EC"/>
    <w:rsid w:val="00F05F95"/>
    <w:rsid w:val="00F54D82"/>
    <w:rsid w:val="00F6558A"/>
    <w:rsid w:val="00F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5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Normal"/>
    <w:rsid w:val="00B2253A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B2253A"/>
    <w:rPr>
      <w:i/>
      <w:iCs/>
    </w:rPr>
  </w:style>
  <w:style w:type="paragraph" w:styleId="ListeParagraf">
    <w:name w:val="List Paragraph"/>
    <w:basedOn w:val="Normal"/>
    <w:uiPriority w:val="34"/>
    <w:qFormat/>
    <w:rsid w:val="00704A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Kpr">
    <w:name w:val="Hyperlink"/>
    <w:basedOn w:val="VarsaylanParagrafYazTipi"/>
    <w:rsid w:val="00CD28B9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570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70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5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4957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957F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7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7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Prospektüs</vt:lpstr>
      <vt:lpstr>Prospektüs</vt:lpstr>
    </vt:vector>
  </TitlesOfParts>
  <Company>Deva Holding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Prospektüs</dc:title>
  <dc:creator>Elif Gokbulut</dc:creator>
  <cp:lastModifiedBy>acoban</cp:lastModifiedBy>
  <cp:revision>6</cp:revision>
  <cp:lastPrinted>2019-02-19T10:16:00Z</cp:lastPrinted>
  <dcterms:created xsi:type="dcterms:W3CDTF">2019-02-19T10:14:00Z</dcterms:created>
  <dcterms:modified xsi:type="dcterms:W3CDTF">2019-05-16T07:53:00Z</dcterms:modified>
</cp:coreProperties>
</file>